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95B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附件1：项目服务内容及技术参数要求</w:t>
      </w:r>
    </w:p>
    <w:p w14:paraId="2FE97F2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2" w:firstLineChars="20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一、采购需求概述</w:t>
      </w:r>
    </w:p>
    <w:p w14:paraId="7987A33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0" w:firstLineChars="200"/>
        <w:jc w:val="left"/>
        <w:rPr>
          <w:rFonts w:hint="default"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优化患者就医体验，确保与医院现有业务系统进行标准改造。</w:t>
      </w:r>
    </w:p>
    <w:p w14:paraId="419960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2" w:firstLineChars="20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i w:val="0"/>
          <w:strike w:val="0"/>
          <w:color w:val="auto"/>
          <w:kern w:val="2"/>
          <w:sz w:val="24"/>
          <w:szCs w:val="24"/>
          <w:highlight w:val="none"/>
          <w:u w:val="none"/>
          <w:lang w:val="en-US" w:eastAsia="zh-CN" w:bidi="ar-SA"/>
        </w:rPr>
        <w:t>★二、</w:t>
      </w:r>
      <w:r>
        <w:rPr>
          <w:rFonts w:hint="eastAsia" w:ascii="仿宋" w:hAnsi="仿宋" w:eastAsia="仿宋" w:cs="仿宋"/>
          <w:b/>
          <w:bCs/>
          <w:spacing w:val="0"/>
          <w:kern w:val="0"/>
          <w:sz w:val="24"/>
          <w:szCs w:val="24"/>
          <w:highlight w:val="none"/>
          <w:shd w:val="clear" w:fill="FFFFFF"/>
          <w:lang w:val="en-US" w:eastAsia="zh-CN" w:bidi="ar"/>
        </w:rPr>
        <w:t>项目服务内容及技术参数要求</w:t>
      </w:r>
    </w:p>
    <w:tbl>
      <w:tblPr>
        <w:tblStyle w:val="5"/>
        <w:tblpPr w:leftFromText="180" w:rightFromText="180" w:vertAnchor="text" w:horzAnchor="page" w:tblpX="1896" w:tblpY="7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4"/>
        <w:gridCol w:w="1742"/>
        <w:gridCol w:w="5814"/>
      </w:tblGrid>
      <w:tr w14:paraId="63E1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 w:type="dxa"/>
            <w:vAlign w:val="top"/>
          </w:tcPr>
          <w:p w14:paraId="60D98564">
            <w:pPr>
              <w:keepNext w:val="0"/>
              <w:keepLines w:val="0"/>
              <w:widowControl/>
              <w:suppressLineNumbers w:val="0"/>
              <w:spacing w:before="0" w:beforeAutospacing="0" w:after="0" w:afterAutospacing="0" w:line="360" w:lineRule="auto"/>
              <w:ind w:right="0" w:rightChars="0"/>
              <w:jc w:val="center"/>
              <w:rPr>
                <w:rFonts w:hint="default" w:ascii="仿宋" w:hAnsi="仿宋" w:eastAsia="仿宋" w:cs="仿宋"/>
                <w:b/>
                <w:bCs/>
                <w:spacing w:val="0"/>
                <w:kern w:val="0"/>
                <w:sz w:val="24"/>
                <w:szCs w:val="24"/>
                <w:highlight w:val="none"/>
                <w:shd w:val="clear" w:fill="FFFFFF"/>
                <w:vertAlign w:val="baseline"/>
                <w:lang w:val="en-US" w:eastAsia="zh-CN" w:bidi="ar"/>
              </w:rPr>
            </w:pPr>
            <w:r>
              <w:rPr>
                <w:rFonts w:hint="eastAsia" w:ascii="仿宋" w:hAnsi="仿宋" w:eastAsia="仿宋" w:cs="仿宋"/>
                <w:b/>
                <w:bCs/>
                <w:spacing w:val="0"/>
                <w:kern w:val="0"/>
                <w:sz w:val="24"/>
                <w:szCs w:val="24"/>
                <w:highlight w:val="none"/>
                <w:shd w:val="clear" w:fill="FFFFFF"/>
                <w:vertAlign w:val="baseline"/>
                <w:lang w:val="en-US" w:eastAsia="zh-CN" w:bidi="ar"/>
              </w:rPr>
              <w:t>序号</w:t>
            </w:r>
          </w:p>
        </w:tc>
        <w:tc>
          <w:tcPr>
            <w:tcW w:w="1742" w:type="dxa"/>
            <w:vAlign w:val="top"/>
          </w:tcPr>
          <w:p w14:paraId="540658C2">
            <w:pPr>
              <w:keepNext w:val="0"/>
              <w:keepLines w:val="0"/>
              <w:widowControl/>
              <w:suppressLineNumbers w:val="0"/>
              <w:spacing w:before="0" w:beforeAutospacing="0" w:after="0" w:afterAutospacing="0" w:line="360" w:lineRule="auto"/>
              <w:ind w:right="0" w:rightChars="0"/>
              <w:jc w:val="both"/>
              <w:rPr>
                <w:rFonts w:hint="eastAsia" w:ascii="仿宋" w:hAnsi="仿宋" w:eastAsia="仿宋" w:cs="仿宋"/>
                <w:b/>
                <w:bCs/>
                <w:spacing w:val="0"/>
                <w:kern w:val="0"/>
                <w:sz w:val="24"/>
                <w:szCs w:val="24"/>
                <w:highlight w:val="none"/>
                <w:shd w:val="clear" w:fill="FFFFFF"/>
                <w:vertAlign w:val="baseline"/>
                <w:lang w:val="en-US" w:eastAsia="zh-CN" w:bidi="ar"/>
              </w:rPr>
            </w:pPr>
            <w:r>
              <w:rPr>
                <w:rFonts w:hint="eastAsia" w:ascii="仿宋" w:hAnsi="仿宋" w:eastAsia="仿宋" w:cs="仿宋"/>
                <w:b/>
                <w:bCs/>
                <w:spacing w:val="0"/>
                <w:kern w:val="0"/>
                <w:sz w:val="24"/>
                <w:szCs w:val="24"/>
                <w:highlight w:val="none"/>
                <w:shd w:val="clear" w:fill="FFFFFF"/>
                <w:vertAlign w:val="baseline"/>
                <w:lang w:val="en-US" w:eastAsia="zh-CN" w:bidi="ar"/>
              </w:rPr>
              <w:t>服务项目</w:t>
            </w:r>
          </w:p>
        </w:tc>
        <w:tc>
          <w:tcPr>
            <w:tcW w:w="5814" w:type="dxa"/>
            <w:vAlign w:val="top"/>
          </w:tcPr>
          <w:p w14:paraId="550B09EC">
            <w:pPr>
              <w:keepNext/>
              <w:keepLines/>
              <w:widowControl w:val="0"/>
              <w:spacing w:before="0" w:after="0" w:line="360" w:lineRule="auto"/>
              <w:ind w:firstLine="482" w:firstLineChars="200"/>
              <w:jc w:val="both"/>
              <w:outlineLvl w:val="1"/>
              <w:rPr>
                <w:rFonts w:hint="eastAsia" w:ascii="仿宋" w:hAnsi="仿宋" w:eastAsia="仿宋" w:cs="仿宋"/>
                <w:b/>
                <w:bCs/>
                <w:spacing w:val="0"/>
                <w:kern w:val="0"/>
                <w:sz w:val="24"/>
                <w:szCs w:val="24"/>
                <w:highlight w:val="none"/>
                <w:shd w:val="clear" w:fill="FFFFFF"/>
                <w:vertAlign w:val="baseline"/>
                <w:lang w:val="en-US" w:eastAsia="zh-CN" w:bidi="ar"/>
              </w:rPr>
            </w:pPr>
            <w:r>
              <w:rPr>
                <w:rFonts w:hint="eastAsia" w:ascii="仿宋" w:hAnsi="仿宋" w:eastAsia="仿宋" w:cs="仿宋"/>
                <w:b/>
                <w:bCs/>
                <w:i w:val="0"/>
                <w:strike w:val="0"/>
                <w:color w:val="auto"/>
                <w:kern w:val="2"/>
                <w:sz w:val="24"/>
                <w:szCs w:val="24"/>
                <w:highlight w:val="none"/>
                <w:u w:val="none"/>
                <w:lang w:val="en-US" w:eastAsia="zh-CN" w:bidi="ar-SA"/>
              </w:rPr>
              <w:t>服务内容</w:t>
            </w:r>
          </w:p>
        </w:tc>
      </w:tr>
      <w:tr w14:paraId="6802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 w:type="dxa"/>
            <w:vAlign w:val="top"/>
          </w:tcPr>
          <w:p w14:paraId="1FAB2692">
            <w:pPr>
              <w:keepNext w:val="0"/>
              <w:keepLines w:val="0"/>
              <w:widowControl/>
              <w:suppressLineNumbers w:val="0"/>
              <w:spacing w:before="0" w:beforeAutospacing="0" w:after="0" w:afterAutospacing="0" w:line="360" w:lineRule="auto"/>
              <w:ind w:right="0" w:rightChars="0"/>
              <w:jc w:val="center"/>
              <w:rPr>
                <w:rFonts w:hint="eastAsia" w:ascii="仿宋" w:hAnsi="仿宋" w:eastAsia="仿宋" w:cs="仿宋"/>
                <w:b/>
                <w:bCs/>
                <w:spacing w:val="0"/>
                <w:kern w:val="0"/>
                <w:sz w:val="24"/>
                <w:szCs w:val="24"/>
                <w:highlight w:val="none"/>
                <w:shd w:val="clear" w:fill="FFFFFF"/>
                <w:vertAlign w:val="baseline"/>
                <w:lang w:val="en-US" w:eastAsia="zh-CN" w:bidi="ar"/>
              </w:rPr>
            </w:pPr>
          </w:p>
          <w:p w14:paraId="5E222319">
            <w:pPr>
              <w:keepNext w:val="0"/>
              <w:keepLines w:val="0"/>
              <w:widowControl/>
              <w:suppressLineNumbers w:val="0"/>
              <w:spacing w:before="0" w:beforeAutospacing="0" w:after="0" w:afterAutospacing="0" w:line="360" w:lineRule="auto"/>
              <w:ind w:right="0" w:rightChars="0"/>
              <w:jc w:val="center"/>
              <w:rPr>
                <w:rFonts w:hint="eastAsia" w:ascii="仿宋" w:hAnsi="仿宋" w:eastAsia="仿宋" w:cs="仿宋"/>
                <w:b/>
                <w:bCs/>
                <w:spacing w:val="0"/>
                <w:kern w:val="0"/>
                <w:sz w:val="24"/>
                <w:szCs w:val="24"/>
                <w:highlight w:val="none"/>
                <w:shd w:val="clear" w:fill="FFFFFF"/>
                <w:vertAlign w:val="baseline"/>
                <w:lang w:val="en-US" w:eastAsia="zh-CN" w:bidi="ar"/>
              </w:rPr>
            </w:pPr>
          </w:p>
          <w:p w14:paraId="41058A72">
            <w:pPr>
              <w:keepNext w:val="0"/>
              <w:keepLines w:val="0"/>
              <w:widowControl/>
              <w:suppressLineNumbers w:val="0"/>
              <w:spacing w:before="0" w:beforeAutospacing="0" w:after="0" w:afterAutospacing="0" w:line="360" w:lineRule="auto"/>
              <w:ind w:right="0" w:rightChars="0"/>
              <w:jc w:val="center"/>
              <w:rPr>
                <w:rFonts w:hint="eastAsia" w:ascii="仿宋" w:hAnsi="仿宋" w:eastAsia="仿宋" w:cs="仿宋"/>
                <w:b/>
                <w:bCs/>
                <w:spacing w:val="0"/>
                <w:kern w:val="0"/>
                <w:sz w:val="24"/>
                <w:szCs w:val="24"/>
                <w:highlight w:val="none"/>
                <w:shd w:val="clear" w:fill="FFFFFF"/>
                <w:vertAlign w:val="baseline"/>
                <w:lang w:val="en-US" w:eastAsia="zh-CN" w:bidi="ar"/>
              </w:rPr>
            </w:pPr>
          </w:p>
          <w:p w14:paraId="26721A11">
            <w:pPr>
              <w:keepNext w:val="0"/>
              <w:keepLines w:val="0"/>
              <w:widowControl/>
              <w:suppressLineNumbers w:val="0"/>
              <w:spacing w:before="0" w:beforeAutospacing="0" w:after="0" w:afterAutospacing="0" w:line="360" w:lineRule="auto"/>
              <w:ind w:right="0" w:rightChars="0"/>
              <w:jc w:val="center"/>
              <w:rPr>
                <w:rFonts w:hint="eastAsia" w:ascii="仿宋" w:hAnsi="仿宋" w:eastAsia="仿宋" w:cs="仿宋"/>
                <w:b/>
                <w:bCs/>
                <w:spacing w:val="0"/>
                <w:kern w:val="0"/>
                <w:sz w:val="24"/>
                <w:szCs w:val="24"/>
                <w:highlight w:val="none"/>
                <w:shd w:val="clear" w:fill="FFFFFF"/>
                <w:vertAlign w:val="baseline"/>
                <w:lang w:val="en-US" w:eastAsia="zh-CN" w:bidi="ar"/>
              </w:rPr>
            </w:pPr>
          </w:p>
          <w:p w14:paraId="08FA9260">
            <w:pPr>
              <w:keepNext w:val="0"/>
              <w:keepLines w:val="0"/>
              <w:widowControl/>
              <w:suppressLineNumbers w:val="0"/>
              <w:spacing w:before="0" w:beforeAutospacing="0" w:after="0" w:afterAutospacing="0" w:line="360" w:lineRule="auto"/>
              <w:ind w:right="0" w:rightChars="0"/>
              <w:jc w:val="center"/>
              <w:rPr>
                <w:rFonts w:hint="eastAsia" w:ascii="仿宋" w:hAnsi="仿宋" w:eastAsia="仿宋" w:cs="仿宋"/>
                <w:b/>
                <w:bCs/>
                <w:spacing w:val="0"/>
                <w:kern w:val="0"/>
                <w:sz w:val="24"/>
                <w:szCs w:val="24"/>
                <w:highlight w:val="none"/>
                <w:shd w:val="clear" w:fill="FFFFFF"/>
                <w:vertAlign w:val="baseline"/>
                <w:lang w:val="en-US" w:eastAsia="zh-CN" w:bidi="ar"/>
              </w:rPr>
            </w:pPr>
          </w:p>
          <w:p w14:paraId="669FD20B">
            <w:pPr>
              <w:keepNext w:val="0"/>
              <w:keepLines w:val="0"/>
              <w:widowControl/>
              <w:suppressLineNumbers w:val="0"/>
              <w:spacing w:before="0" w:beforeAutospacing="0" w:after="0" w:afterAutospacing="0" w:line="360" w:lineRule="auto"/>
              <w:ind w:right="0" w:rightChars="0"/>
              <w:jc w:val="center"/>
              <w:rPr>
                <w:rFonts w:hint="default" w:ascii="仿宋" w:hAnsi="仿宋" w:eastAsia="仿宋" w:cs="仿宋"/>
                <w:b/>
                <w:bCs/>
                <w:spacing w:val="0"/>
                <w:kern w:val="0"/>
                <w:sz w:val="24"/>
                <w:szCs w:val="24"/>
                <w:highlight w:val="none"/>
                <w:shd w:val="clear" w:fill="FFFFFF"/>
                <w:vertAlign w:val="baseline"/>
                <w:lang w:val="en-US" w:eastAsia="zh-CN" w:bidi="ar"/>
              </w:rPr>
            </w:pPr>
            <w:r>
              <w:rPr>
                <w:rFonts w:hint="eastAsia" w:ascii="仿宋" w:hAnsi="仿宋" w:eastAsia="仿宋" w:cs="仿宋"/>
                <w:b/>
                <w:bCs/>
                <w:spacing w:val="0"/>
                <w:kern w:val="0"/>
                <w:sz w:val="24"/>
                <w:szCs w:val="24"/>
                <w:highlight w:val="none"/>
                <w:shd w:val="clear" w:fill="FFFFFF"/>
                <w:vertAlign w:val="baseline"/>
                <w:lang w:val="en-US" w:eastAsia="zh-CN" w:bidi="ar"/>
              </w:rPr>
              <w:t>1</w:t>
            </w:r>
          </w:p>
        </w:tc>
        <w:tc>
          <w:tcPr>
            <w:tcW w:w="1742" w:type="dxa"/>
            <w:vAlign w:val="center"/>
          </w:tcPr>
          <w:p w14:paraId="487554C8">
            <w:pPr>
              <w:keepNext w:val="0"/>
              <w:keepLines w:val="0"/>
              <w:widowControl/>
              <w:suppressLineNumbers w:val="0"/>
              <w:spacing w:before="0" w:beforeAutospacing="0" w:after="0" w:afterAutospacing="0" w:line="360" w:lineRule="auto"/>
              <w:ind w:right="0" w:rightChars="0"/>
              <w:jc w:val="center"/>
              <w:rPr>
                <w:rFonts w:hint="eastAsia" w:ascii="仿宋" w:hAnsi="仿宋" w:eastAsia="仿宋" w:cs="仿宋"/>
                <w:b/>
                <w:bCs/>
                <w:spacing w:val="0"/>
                <w:kern w:val="0"/>
                <w:sz w:val="24"/>
                <w:szCs w:val="24"/>
                <w:highlight w:val="none"/>
                <w:shd w:val="clear" w:fill="FFFFFF"/>
                <w:vertAlign w:val="baseline"/>
                <w:lang w:val="en-US" w:eastAsia="zh-CN" w:bidi="ar"/>
              </w:rPr>
            </w:pPr>
            <w:r>
              <w:rPr>
                <w:rFonts w:hint="eastAsia" w:ascii="仿宋" w:hAnsi="仿宋" w:eastAsia="仿宋" w:cs="仿宋"/>
                <w:b w:val="0"/>
                <w:bCs w:val="0"/>
                <w:i w:val="0"/>
                <w:iCs w:val="0"/>
                <w:caps w:val="0"/>
                <w:color w:val="auto"/>
                <w:spacing w:val="0"/>
                <w:kern w:val="2"/>
                <w:sz w:val="24"/>
                <w:szCs w:val="24"/>
                <w:shd w:val="clear" w:fill="FFFFFF"/>
                <w:lang w:val="en-US" w:eastAsia="zh-CN" w:bidi="ar-SA"/>
              </w:rPr>
              <w:t>门户网站IPv6访问改造</w:t>
            </w:r>
          </w:p>
        </w:tc>
        <w:tc>
          <w:tcPr>
            <w:tcW w:w="5814" w:type="dxa"/>
            <w:vAlign w:val="top"/>
          </w:tcPr>
          <w:p w14:paraId="76A792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both"/>
              <w:rPr>
                <w:rFonts w:hint="default" w:ascii="仿宋" w:hAnsi="仿宋" w:eastAsia="仿宋" w:cs="仿宋"/>
                <w:b w:val="0"/>
                <w:bCs w:val="0"/>
                <w:spacing w:val="0"/>
                <w:kern w:val="0"/>
                <w:sz w:val="24"/>
                <w:szCs w:val="24"/>
                <w:highlight w:val="none"/>
                <w:shd w:val="clear" w:fill="FFFFFF"/>
                <w:lang w:val="en-US" w:eastAsia="zh-CN" w:bidi="ar"/>
              </w:rPr>
            </w:pPr>
            <w:r>
              <w:rPr>
                <w:rFonts w:hint="default" w:ascii="仿宋" w:hAnsi="仿宋" w:eastAsia="仿宋" w:cs="仿宋"/>
                <w:b w:val="0"/>
                <w:bCs w:val="0"/>
                <w:spacing w:val="0"/>
                <w:kern w:val="0"/>
                <w:sz w:val="24"/>
                <w:szCs w:val="24"/>
                <w:highlight w:val="none"/>
                <w:shd w:val="clear" w:fill="FFFFFF"/>
                <w:lang w:val="en-US" w:eastAsia="zh-CN" w:bidi="ar"/>
              </w:rPr>
              <w:t>1、网站域名能够实现多个地点多链路解析到IPv6地址:</w:t>
            </w:r>
          </w:p>
          <w:p w14:paraId="656298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both"/>
              <w:rPr>
                <w:rFonts w:hint="default" w:ascii="仿宋" w:hAnsi="仿宋" w:eastAsia="仿宋" w:cs="仿宋"/>
                <w:b w:val="0"/>
                <w:bCs w:val="0"/>
                <w:spacing w:val="0"/>
                <w:kern w:val="0"/>
                <w:sz w:val="24"/>
                <w:szCs w:val="24"/>
                <w:highlight w:val="none"/>
                <w:shd w:val="clear" w:fill="FFFFFF"/>
                <w:lang w:val="en-US" w:eastAsia="zh-CN" w:bidi="ar"/>
              </w:rPr>
            </w:pPr>
            <w:r>
              <w:rPr>
                <w:rFonts w:hint="default" w:ascii="仿宋" w:hAnsi="仿宋" w:eastAsia="仿宋" w:cs="仿宋"/>
                <w:b w:val="0"/>
                <w:bCs w:val="0"/>
                <w:spacing w:val="0"/>
                <w:kern w:val="0"/>
                <w:sz w:val="24"/>
                <w:szCs w:val="24"/>
                <w:highlight w:val="none"/>
                <w:shd w:val="clear" w:fill="FFFFFF"/>
                <w:lang w:val="en-US" w:eastAsia="zh-CN" w:bidi="ar"/>
              </w:rPr>
              <w:t>2、网站各级链接IPv6访问支持率应达到100%;</w:t>
            </w:r>
          </w:p>
          <w:p w14:paraId="62B44B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both"/>
              <w:rPr>
                <w:rFonts w:hint="default" w:ascii="仿宋" w:hAnsi="仿宋" w:eastAsia="仿宋" w:cs="仿宋"/>
                <w:b w:val="0"/>
                <w:bCs w:val="0"/>
                <w:spacing w:val="0"/>
                <w:kern w:val="0"/>
                <w:sz w:val="24"/>
                <w:szCs w:val="24"/>
                <w:highlight w:val="none"/>
                <w:shd w:val="clear" w:fill="FFFFFF"/>
                <w:lang w:val="en-US" w:eastAsia="zh-CN" w:bidi="ar"/>
              </w:rPr>
            </w:pPr>
            <w:r>
              <w:rPr>
                <w:rFonts w:hint="default" w:ascii="仿宋" w:hAnsi="仿宋" w:eastAsia="仿宋" w:cs="仿宋"/>
                <w:b w:val="0"/>
                <w:bCs w:val="0"/>
                <w:spacing w:val="0"/>
                <w:kern w:val="0"/>
                <w:sz w:val="24"/>
                <w:szCs w:val="24"/>
                <w:highlight w:val="none"/>
                <w:shd w:val="clear" w:fill="FFFFFF"/>
                <w:lang w:val="en-US" w:eastAsia="zh-CN" w:bidi="ar"/>
              </w:rPr>
              <w:t>3、配合甲方后续关于IPv6改造的相关事宜:</w:t>
            </w:r>
          </w:p>
          <w:p w14:paraId="2FD989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both"/>
              <w:rPr>
                <w:rFonts w:hint="default" w:ascii="仿宋" w:hAnsi="仿宋" w:eastAsia="仿宋" w:cs="仿宋"/>
                <w:b w:val="0"/>
                <w:bCs w:val="0"/>
                <w:spacing w:val="0"/>
                <w:kern w:val="0"/>
                <w:sz w:val="24"/>
                <w:szCs w:val="24"/>
                <w:highlight w:val="none"/>
                <w:shd w:val="clear" w:fill="FFFFFF"/>
                <w:lang w:val="en-US" w:eastAsia="zh-CN" w:bidi="ar"/>
              </w:rPr>
            </w:pPr>
            <w:r>
              <w:rPr>
                <w:rFonts w:hint="default" w:ascii="仿宋" w:hAnsi="仿宋" w:eastAsia="仿宋" w:cs="仿宋"/>
                <w:b w:val="0"/>
                <w:bCs w:val="0"/>
                <w:spacing w:val="0"/>
                <w:kern w:val="0"/>
                <w:sz w:val="24"/>
                <w:szCs w:val="24"/>
                <w:highlight w:val="none"/>
                <w:shd w:val="clear" w:fill="FFFFFF"/>
                <w:lang w:val="en-US" w:eastAsia="zh-CN" w:bidi="ar"/>
              </w:rPr>
              <w:t>4、内容布局一致性:通过IPv4访问和IPv6访问网站，内容和布局应保持完全一致;</w:t>
            </w:r>
          </w:p>
          <w:p w14:paraId="4B8B1E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both"/>
              <w:rPr>
                <w:rFonts w:hint="default" w:ascii="仿宋" w:hAnsi="仿宋" w:eastAsia="仿宋" w:cs="仿宋"/>
                <w:b w:val="0"/>
                <w:bCs w:val="0"/>
                <w:spacing w:val="0"/>
                <w:kern w:val="0"/>
                <w:sz w:val="24"/>
                <w:szCs w:val="24"/>
                <w:highlight w:val="none"/>
                <w:shd w:val="clear" w:fill="FFFFFF"/>
                <w:lang w:val="en-US" w:eastAsia="zh-CN" w:bidi="ar"/>
              </w:rPr>
            </w:pPr>
            <w:r>
              <w:rPr>
                <w:rFonts w:hint="default" w:ascii="仿宋" w:hAnsi="仿宋" w:eastAsia="仿宋" w:cs="仿宋"/>
                <w:b w:val="0"/>
                <w:bCs w:val="0"/>
                <w:spacing w:val="0"/>
                <w:kern w:val="0"/>
                <w:sz w:val="24"/>
                <w:szCs w:val="24"/>
                <w:highlight w:val="none"/>
                <w:shd w:val="clear" w:fill="FFFFFF"/>
                <w:lang w:val="en-US" w:eastAsia="zh-CN" w:bidi="ar"/>
              </w:rPr>
              <w:t>5、域名一致性:网站www的IPv6域名与IPv4域名为同一域名:</w:t>
            </w:r>
          </w:p>
          <w:p w14:paraId="67906D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both"/>
              <w:rPr>
                <w:rFonts w:hint="default" w:ascii="仿宋" w:hAnsi="仿宋" w:eastAsia="仿宋" w:cs="仿宋"/>
                <w:b w:val="0"/>
                <w:bCs w:val="0"/>
                <w:spacing w:val="0"/>
                <w:kern w:val="0"/>
                <w:sz w:val="24"/>
                <w:szCs w:val="24"/>
                <w:highlight w:val="none"/>
                <w:shd w:val="clear" w:fill="FFFFFF"/>
                <w:lang w:val="en-US" w:eastAsia="zh-CN" w:bidi="ar"/>
              </w:rPr>
            </w:pPr>
            <w:r>
              <w:rPr>
                <w:rFonts w:hint="default" w:ascii="仿宋" w:hAnsi="仿宋" w:eastAsia="仿宋" w:cs="仿宋"/>
                <w:b w:val="0"/>
                <w:bCs w:val="0"/>
                <w:spacing w:val="0"/>
                <w:kern w:val="0"/>
                <w:sz w:val="24"/>
                <w:szCs w:val="24"/>
                <w:highlight w:val="none"/>
                <w:shd w:val="clear" w:fill="FFFFFF"/>
                <w:lang w:val="en-US" w:eastAsia="zh-CN" w:bidi="ar"/>
              </w:rPr>
              <w:t>6、地址可解析性:网站www域名能够实现多个地点多链路解析到IPv6地址。</w:t>
            </w:r>
          </w:p>
          <w:p w14:paraId="501008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both"/>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7.通配符证书部署SSI证书部署</w:t>
            </w:r>
          </w:p>
          <w:p w14:paraId="00C29C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both"/>
              <w:rPr>
                <w:rFonts w:hint="eastAsia" w:ascii="仿宋" w:hAnsi="仿宋" w:eastAsia="仿宋" w:cs="仿宋"/>
                <w:b/>
                <w:bCs/>
                <w:spacing w:val="0"/>
                <w:kern w:val="0"/>
                <w:sz w:val="24"/>
                <w:szCs w:val="24"/>
                <w:highlight w:val="none"/>
                <w:shd w:val="clear" w:fill="FFFFFF"/>
                <w:vertAlign w:val="baseline"/>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8.微信、支付宝域名代理</w:t>
            </w:r>
          </w:p>
        </w:tc>
      </w:tr>
      <w:tr w14:paraId="7D79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 w:type="dxa"/>
          </w:tcPr>
          <w:p w14:paraId="4E774CC4">
            <w:pPr>
              <w:keepNext w:val="0"/>
              <w:keepLines w:val="0"/>
              <w:widowControl/>
              <w:suppressLineNumbers w:val="0"/>
              <w:spacing w:before="0" w:beforeAutospacing="0" w:after="0" w:afterAutospacing="0" w:line="360" w:lineRule="auto"/>
              <w:ind w:right="0" w:rightChars="0"/>
              <w:jc w:val="center"/>
              <w:rPr>
                <w:rFonts w:hint="eastAsia" w:ascii="仿宋" w:hAnsi="仿宋" w:eastAsia="仿宋" w:cs="仿宋"/>
                <w:b w:val="0"/>
                <w:bCs w:val="0"/>
                <w:i w:val="0"/>
                <w:iCs w:val="0"/>
                <w:caps w:val="0"/>
                <w:color w:val="auto"/>
                <w:spacing w:val="0"/>
                <w:kern w:val="2"/>
                <w:sz w:val="24"/>
                <w:szCs w:val="24"/>
                <w:shd w:val="clear" w:fill="FFFFFF"/>
                <w:lang w:val="en-US" w:eastAsia="zh-CN" w:bidi="ar-SA"/>
              </w:rPr>
            </w:pPr>
          </w:p>
          <w:p w14:paraId="26347269">
            <w:pPr>
              <w:keepNext w:val="0"/>
              <w:keepLines w:val="0"/>
              <w:widowControl/>
              <w:suppressLineNumbers w:val="0"/>
              <w:spacing w:before="0" w:beforeAutospacing="0" w:after="0" w:afterAutospacing="0" w:line="360" w:lineRule="auto"/>
              <w:ind w:right="0" w:rightChars="0"/>
              <w:jc w:val="center"/>
              <w:rPr>
                <w:rFonts w:hint="default" w:ascii="仿宋" w:hAnsi="仿宋" w:eastAsia="仿宋" w:cs="仿宋"/>
                <w:b w:val="0"/>
                <w:bCs w:val="0"/>
                <w:i w:val="0"/>
                <w:iCs w:val="0"/>
                <w:caps w:val="0"/>
                <w:color w:val="auto"/>
                <w:spacing w:val="0"/>
                <w:kern w:val="2"/>
                <w:sz w:val="24"/>
                <w:szCs w:val="24"/>
                <w:shd w:val="clear" w:fill="FFFFFF"/>
                <w:lang w:val="en-US" w:eastAsia="zh-CN" w:bidi="ar-SA"/>
              </w:rPr>
            </w:pPr>
            <w:r>
              <w:rPr>
                <w:rFonts w:hint="eastAsia" w:ascii="仿宋" w:hAnsi="仿宋" w:eastAsia="仿宋" w:cs="仿宋"/>
                <w:b w:val="0"/>
                <w:bCs w:val="0"/>
                <w:i w:val="0"/>
                <w:iCs w:val="0"/>
                <w:caps w:val="0"/>
                <w:color w:val="auto"/>
                <w:spacing w:val="0"/>
                <w:kern w:val="2"/>
                <w:sz w:val="24"/>
                <w:szCs w:val="24"/>
                <w:shd w:val="clear" w:fill="FFFFFF"/>
                <w:lang w:val="en-US" w:eastAsia="zh-CN" w:bidi="ar-SA"/>
              </w:rPr>
              <w:t>2</w:t>
            </w:r>
          </w:p>
        </w:tc>
        <w:tc>
          <w:tcPr>
            <w:tcW w:w="1742" w:type="dxa"/>
          </w:tcPr>
          <w:p w14:paraId="798BE9AF">
            <w:pPr>
              <w:keepNext w:val="0"/>
              <w:keepLines w:val="0"/>
              <w:widowControl/>
              <w:suppressLineNumbers w:val="0"/>
              <w:spacing w:before="0" w:beforeAutospacing="0" w:after="0" w:afterAutospacing="0" w:line="360" w:lineRule="auto"/>
              <w:ind w:right="0" w:rightChars="0"/>
              <w:jc w:val="left"/>
              <w:rPr>
                <w:rFonts w:hint="eastAsia" w:ascii="仿宋" w:hAnsi="仿宋" w:eastAsia="仿宋" w:cs="仿宋"/>
                <w:b/>
                <w:bCs/>
                <w:spacing w:val="0"/>
                <w:kern w:val="0"/>
                <w:sz w:val="24"/>
                <w:szCs w:val="24"/>
                <w:highlight w:val="none"/>
                <w:shd w:val="clear" w:fill="FFFFFF"/>
                <w:vertAlign w:val="baseline"/>
                <w:lang w:val="en-US" w:eastAsia="zh-CN" w:bidi="ar"/>
              </w:rPr>
            </w:pPr>
            <w:r>
              <w:rPr>
                <w:rFonts w:hint="eastAsia" w:ascii="仿宋" w:hAnsi="仿宋" w:eastAsia="仿宋" w:cs="仿宋"/>
                <w:b w:val="0"/>
                <w:bCs w:val="0"/>
                <w:i w:val="0"/>
                <w:iCs w:val="0"/>
                <w:caps w:val="0"/>
                <w:color w:val="auto"/>
                <w:spacing w:val="0"/>
                <w:kern w:val="2"/>
                <w:sz w:val="24"/>
                <w:szCs w:val="24"/>
                <w:shd w:val="clear" w:fill="FFFFFF"/>
                <w:lang w:val="en-US" w:eastAsia="zh-CN" w:bidi="ar-SA"/>
              </w:rPr>
              <w:t>门户网站三级等保整改</w:t>
            </w:r>
          </w:p>
        </w:tc>
        <w:tc>
          <w:tcPr>
            <w:tcW w:w="5814" w:type="dxa"/>
            <w:vAlign w:val="top"/>
          </w:tcPr>
          <w:p w14:paraId="3289281D">
            <w:pPr>
              <w:keepNext w:val="0"/>
              <w:keepLines w:val="0"/>
              <w:widowControl/>
              <w:suppressLineNumbers w:val="0"/>
              <w:spacing w:before="0" w:beforeAutospacing="0" w:after="0" w:afterAutospacing="0" w:line="360" w:lineRule="auto"/>
              <w:ind w:right="0" w:rightChars="0"/>
              <w:jc w:val="left"/>
              <w:rPr>
                <w:rFonts w:hint="eastAsia" w:ascii="仿宋" w:hAnsi="仿宋" w:eastAsia="仿宋" w:cs="仿宋"/>
                <w:b/>
                <w:bCs/>
                <w:spacing w:val="0"/>
                <w:kern w:val="0"/>
                <w:sz w:val="24"/>
                <w:szCs w:val="24"/>
                <w:highlight w:val="none"/>
                <w:shd w:val="clear" w:fill="FFFFFF"/>
                <w:vertAlign w:val="baseline"/>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在网站应用的云服务器上部署云日志服务、云数据库审计服务、并根据三级等保测评需求对云主机进行安全整改。符合三级等保测评达标要求。</w:t>
            </w:r>
          </w:p>
        </w:tc>
      </w:tr>
    </w:tbl>
    <w:p w14:paraId="19AFA8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241" w:firstLineChars="10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★三、商务要求</w:t>
      </w:r>
    </w:p>
    <w:p w14:paraId="0A48BB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1、履约地点：宜宾市第五人民医院</w:t>
      </w:r>
    </w:p>
    <w:p w14:paraId="4F5A8A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2、实施期限：需在合同签订后15个工作日内完成。</w:t>
      </w:r>
    </w:p>
    <w:p w14:paraId="7839C7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3、服务期限：一年</w:t>
      </w:r>
    </w:p>
    <w:p w14:paraId="1F160F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4、合同价款：包括软件系统费、实施开发费、配套资源费、服务费、培训费、迁移费、质保运维费、三级等保整改等直至项目验收所需的一切费用。</w:t>
      </w:r>
    </w:p>
    <w:p w14:paraId="3C9CFE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5、付款方式：验收合格后，采购人接到成交供应商通知与票据凭证资料后的60日内，</w:t>
      </w:r>
      <w:r>
        <w:rPr>
          <w:rFonts w:hint="default" w:ascii="仿宋" w:hAnsi="仿宋" w:eastAsia="仿宋" w:cs="仿宋"/>
          <w:color w:val="000000"/>
          <w:sz w:val="24"/>
          <w:szCs w:val="24"/>
          <w:highlight w:val="none"/>
          <w:lang w:val="en-US" w:eastAsia="zh-CN" w:bidi="ar-SA"/>
        </w:rPr>
        <w:t>支付合同总金额的100.0%</w:t>
      </w:r>
      <w:r>
        <w:rPr>
          <w:rFonts w:hint="eastAsia" w:ascii="仿宋" w:hAnsi="仿宋" w:eastAsia="仿宋" w:cs="仿宋"/>
          <w:b w:val="0"/>
          <w:bCs w:val="0"/>
          <w:spacing w:val="0"/>
          <w:kern w:val="0"/>
          <w:sz w:val="24"/>
          <w:szCs w:val="24"/>
          <w:highlight w:val="none"/>
          <w:shd w:val="clear" w:fill="FFFFFF"/>
          <w:lang w:val="en-US" w:eastAsia="zh-CN" w:bidi="ar"/>
        </w:rPr>
        <w:t>（成交供应商须向采购人出具合法有效完整的增值税发票及凭证资料进行支付结算。</w:t>
      </w:r>
      <w:bookmarkStart w:id="0" w:name="_GoBack"/>
      <w:bookmarkEnd w:id="0"/>
    </w:p>
    <w:p w14:paraId="64D30E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6、验收：按照询价文件的质量要求和技术指标、成交供应商的响应文件及国家有关规定进行验收。</w:t>
      </w:r>
    </w:p>
    <w:p w14:paraId="0144A8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7、其他未尽事宜，由采购人单位与成交供应商另行协商解决，在合同中约定。</w:t>
      </w:r>
    </w:p>
    <w:p w14:paraId="33D6C1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8、违约责任与解决争议的方法</w:t>
      </w:r>
    </w:p>
    <w:p w14:paraId="08A621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（1）采购人违约责任：</w:t>
      </w:r>
    </w:p>
    <w:p w14:paraId="349592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1.1.采购人逾期支付货款的，除应及时付足货款外，应向成交供应商偿付欠款总额万分之一/天的违约金；逾期付款超过90天的，成交供应商有权终止合同。</w:t>
      </w:r>
    </w:p>
    <w:p w14:paraId="3D95FC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（2）成交供应商违约责任</w:t>
      </w:r>
    </w:p>
    <w:p w14:paraId="261059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 xml:space="preserve">2.1.成交供应商交付的服务不符合合同规定的，成交供应商应向采购人支付合同总价的百分之五的违约金，并须在合同规定的交货时间内更换合格的服务给采购人，否则，视作成交供应商不能交付服务而违约，按本条本款下述第“（2）”项规定由成交供应商偿付违约金给采购人。 </w:t>
      </w:r>
    </w:p>
    <w:p w14:paraId="7AACF5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 xml:space="preserve">2.2.成交供应商不能交付服务或逾期交付服务而违约的，除应及时交足服务外，应向采购人偿付逾期交货部分货款总额的万分之一/天的违约金；逾期交货超过30天，采购人有权终止合同，成交供应商则应按合同总价的百分之十的款额向采购人偿付违约金，并须全额退还采购人已经付给乙方的货款及其利息。 </w:t>
      </w:r>
    </w:p>
    <w:p w14:paraId="331E76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 xml:space="preserve">2.3.成交供应商偿付的违约金不足以弥补采购人损失的，还应按采购人损失尚未弥补的部分，支付给采购人。 </w:t>
      </w:r>
    </w:p>
    <w:p w14:paraId="03BBE2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2.4.如因成交供应商工作人员在履行职务过程中的疏忽、失职、过错等故意或者过失原因给采购人造成损失或侵害，包括但不限于采购人本身的财产损失、由此而导致的采购人对任何第三方的法律责任等，成交供应商对此均应承担全部的赔偿责任。</w:t>
      </w:r>
    </w:p>
    <w:p w14:paraId="5ECFA1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240" w:firstLineChars="100"/>
        <w:jc w:val="left"/>
        <w:rPr>
          <w:rFonts w:hint="eastAsia" w:ascii="仿宋" w:hAnsi="仿宋" w:eastAsia="仿宋" w:cs="仿宋"/>
          <w:b w:val="0"/>
          <w:bCs w:val="0"/>
          <w:spacing w:val="0"/>
          <w:kern w:val="0"/>
          <w:sz w:val="24"/>
          <w:szCs w:val="24"/>
          <w:highlight w:val="none"/>
          <w:shd w:val="clear" w:fill="FFFFFF"/>
          <w:lang w:val="en-US" w:eastAsia="zh-CN" w:bidi="ar"/>
        </w:rPr>
      </w:pPr>
      <w:r>
        <w:rPr>
          <w:rFonts w:hint="eastAsia" w:ascii="仿宋" w:hAnsi="仿宋" w:eastAsia="仿宋" w:cs="仿宋"/>
          <w:b w:val="0"/>
          <w:bCs w:val="0"/>
          <w:spacing w:val="0"/>
          <w:kern w:val="0"/>
          <w:sz w:val="24"/>
          <w:szCs w:val="24"/>
          <w:highlight w:val="none"/>
          <w:shd w:val="clear" w:fill="FFFFFF"/>
          <w:lang w:val="en-US" w:eastAsia="zh-CN" w:bidi="ar"/>
        </w:rPr>
        <w:t>2.5合同履行期间，若双方发生争议，可协商或由有关部门调解解决，协商或调解不成的，向采购人所在地人民法院起诉。</w:t>
      </w:r>
    </w:p>
    <w:p w14:paraId="1B45594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2" w:firstLineChars="200"/>
        <w:jc w:val="left"/>
        <w:rPr>
          <w:rFonts w:hint="eastAsia" w:ascii="仿宋" w:hAnsi="仿宋" w:eastAsia="仿宋" w:cs="仿宋"/>
          <w:b/>
          <w:bCs/>
          <w:i w:val="0"/>
          <w:strike w:val="0"/>
          <w:color w:val="auto"/>
          <w:kern w:val="0"/>
          <w:sz w:val="24"/>
          <w:szCs w:val="24"/>
          <w:highlight w:val="none"/>
          <w:u w:val="none"/>
          <w:lang w:val="en-US" w:eastAsia="zh-CN" w:bidi="ar"/>
        </w:rPr>
      </w:pPr>
      <w:r>
        <w:rPr>
          <w:rFonts w:hint="eastAsia" w:ascii="仿宋" w:hAnsi="仿宋" w:eastAsia="仿宋" w:cs="仿宋"/>
          <w:b/>
          <w:bCs/>
          <w:i w:val="0"/>
          <w:strike w:val="0"/>
          <w:color w:val="auto"/>
          <w:kern w:val="0"/>
          <w:sz w:val="24"/>
          <w:szCs w:val="24"/>
          <w:highlight w:val="none"/>
          <w:u w:val="none"/>
          <w:lang w:val="en-US" w:eastAsia="zh-CN" w:bidi="ar"/>
        </w:rPr>
        <w:t>注：1.本章实质性条款，供应商必须满足；未满足，按照无效响应处理；</w:t>
      </w:r>
    </w:p>
    <w:p w14:paraId="6234624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2" w:firstLineChars="200"/>
        <w:jc w:val="left"/>
        <w:rPr>
          <w:rFonts w:hint="eastAsia" w:ascii="仿宋" w:hAnsi="仿宋" w:eastAsia="仿宋" w:cs="仿宋"/>
          <w:b/>
          <w:bCs/>
          <w:i w:val="0"/>
          <w:strike w:val="0"/>
          <w:color w:val="auto"/>
          <w:kern w:val="0"/>
          <w:sz w:val="24"/>
          <w:szCs w:val="24"/>
          <w:highlight w:val="none"/>
          <w:u w:val="none"/>
          <w:lang w:val="en-US" w:eastAsia="zh-CN" w:bidi="ar"/>
        </w:rPr>
      </w:pPr>
      <w:r>
        <w:rPr>
          <w:rFonts w:hint="eastAsia" w:ascii="仿宋" w:hAnsi="仿宋" w:eastAsia="仿宋" w:cs="仿宋"/>
          <w:b/>
          <w:bCs/>
          <w:i w:val="0"/>
          <w:strike w:val="0"/>
          <w:color w:val="auto"/>
          <w:kern w:val="0"/>
          <w:sz w:val="24"/>
          <w:szCs w:val="24"/>
          <w:highlight w:val="none"/>
          <w:u w:val="none"/>
          <w:lang w:val="en-US" w:eastAsia="zh-CN" w:bidi="ar"/>
        </w:rPr>
        <w:t>2.本章节内容在谈判过程中，谈判小组在获得采购人代表确认的前提下，可以根据谈判情况实质性变动相关内容。谈判小组对谈判文件作出的实质性变动是谈判文件的有效组成部分。</w:t>
      </w:r>
    </w:p>
    <w:p w14:paraId="02DF6F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0" w:firstLineChars="0"/>
        <w:jc w:val="left"/>
        <w:rPr>
          <w:rFonts w:hint="default" w:ascii="仿宋" w:hAnsi="仿宋" w:eastAsia="仿宋" w:cs="仿宋"/>
          <w:b w:val="0"/>
          <w:bCs w:val="0"/>
          <w:spacing w:val="0"/>
          <w:kern w:val="0"/>
          <w:sz w:val="24"/>
          <w:szCs w:val="24"/>
          <w:highlight w:val="none"/>
          <w:shd w:val="clear"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050088"/>
    <w:rsid w:val="11126D1B"/>
    <w:rsid w:val="11167567"/>
    <w:rsid w:val="143A53C9"/>
    <w:rsid w:val="14F55D0D"/>
    <w:rsid w:val="180B10BC"/>
    <w:rsid w:val="1AD559B1"/>
    <w:rsid w:val="1BE2420A"/>
    <w:rsid w:val="1F2740B0"/>
    <w:rsid w:val="21031CAB"/>
    <w:rsid w:val="21677655"/>
    <w:rsid w:val="2B9A4B18"/>
    <w:rsid w:val="33040EF1"/>
    <w:rsid w:val="3A60099C"/>
    <w:rsid w:val="52C53871"/>
    <w:rsid w:val="5CAC683F"/>
    <w:rsid w:val="5CD60CA3"/>
    <w:rsid w:val="5D9C4467"/>
    <w:rsid w:val="5F296CFF"/>
    <w:rsid w:val="66236287"/>
    <w:rsid w:val="66E4646E"/>
    <w:rsid w:val="778E3F28"/>
    <w:rsid w:val="7CAB2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annotation text"/>
    <w:basedOn w:val="1"/>
    <w:uiPriority w:val="0"/>
    <w:pPr>
      <w:jc w:val="left"/>
    </w:p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551</Words>
  <Characters>592</Characters>
  <Lines>0</Lines>
  <Paragraphs>0</Paragraphs>
  <TotalTime>0</TotalTime>
  <ScaleCrop>false</ScaleCrop>
  <LinksUpToDate>false</LinksUpToDate>
  <CharactersWithSpaces>617</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2026-11-03T03:33:00Z</dcterms:created>
  <dc:creator>asus</dc:creator>
  <cp:lastModifiedBy>小果汁</cp:lastModifiedBy>
  <dcterms:modified xsi:type="dcterms:W3CDTF">2026-11-06T00:36:13Z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eyJoZGlkIjoiN2RiMWE4MDVhYmZlYzU3ZTlkODY2ZTJkNGUyYTAzNGYiLCJ1c2VySWQiOiIxOTA5OTg5NTU1In0=</vt:lpwstr>
  </property>
  <property fmtid="{D5CDD505-2E9C-101B-9397-08002B2CF9AE}" pid="4" name="ICV">
    <vt:lpwstr>805CF9B183F34DADB9139DD4010C31C0_12</vt:lpwstr>
  </property>
</Properties>
</file>