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D95BF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0" w:firstLineChars="0"/>
        <w:jc w:val="left"/>
        <w:rPr>
          <w:rFonts w:hint="eastAsia" w:ascii="仿宋" w:hAnsi="仿宋" w:eastAsia="仿宋" w:cs="仿宋"/>
          <w:b/>
          <w:bCs/>
          <w:spacing w:val="0"/>
          <w:kern w:val="0"/>
          <w:sz w:val="24"/>
          <w:szCs w:val="24"/>
          <w:highlight w:val="none"/>
          <w:shd w:val="clear" w:fill="FFFFFF"/>
          <w:lang w:val="en-US" w:eastAsia="zh-CN" w:bidi="ar"/>
        </w:rPr>
      </w:pPr>
      <w:r>
        <w:rPr>
          <w:rFonts w:hint="eastAsia" w:ascii="仿宋" w:hAnsi="仿宋" w:eastAsia="仿宋" w:cs="仿宋"/>
          <w:b/>
          <w:bCs/>
          <w:spacing w:val="0"/>
          <w:kern w:val="0"/>
          <w:sz w:val="24"/>
          <w:szCs w:val="24"/>
          <w:highlight w:val="none"/>
          <w:shd w:val="clear" w:fill="FFFFFF"/>
          <w:lang w:val="en-US" w:eastAsia="zh-CN" w:bidi="ar"/>
        </w:rPr>
        <w:t>附件1：项目服务内容及技术参数要求</w:t>
      </w:r>
    </w:p>
    <w:p w14:paraId="2CC5F7F8">
      <w:pPr>
        <w:pStyle w:val="10"/>
        <w:numPr>
          <w:ilvl w:val="0"/>
          <w:numId w:val="0"/>
        </w:numPr>
        <w:spacing w:before="120" w:after="120"/>
        <w:ind w:leftChars="0"/>
        <w:jc w:val="center"/>
        <w:rPr>
          <w:rFonts w:hint="eastAsia" w:ascii="仿宋" w:hAnsi="仿宋" w:eastAsia="仿宋" w:cs="仿宋"/>
          <w:b/>
          <w:bCs/>
          <w:color w:val="auto"/>
          <w:sz w:val="36"/>
          <w:szCs w:val="36"/>
          <w:highlight w:val="none"/>
        </w:rPr>
      </w:pPr>
      <w:r>
        <w:rPr>
          <w:rFonts w:hint="eastAsia" w:ascii="仿宋" w:hAnsi="仿宋" w:eastAsia="仿宋" w:cs="仿宋"/>
          <w:b/>
          <w:bCs/>
          <w:color w:val="auto"/>
          <w:sz w:val="36"/>
          <w:szCs w:val="36"/>
          <w:highlight w:val="none"/>
        </w:rPr>
        <w:t>采购项目技术、服务及商务要求</w:t>
      </w:r>
    </w:p>
    <w:p w14:paraId="788C4879">
      <w:pPr>
        <w:pStyle w:val="12"/>
        <w:numPr>
          <w:ilvl w:val="1"/>
          <w:numId w:val="0"/>
        </w:numPr>
        <w:spacing w:line="360" w:lineRule="auto"/>
        <w:ind w:left="420" w:leftChars="0"/>
        <w:rPr>
          <w:rFonts w:hint="eastAsia" w:ascii="仿宋" w:hAnsi="仿宋" w:eastAsia="仿宋" w:cs="仿宋"/>
          <w:b/>
          <w:bCs/>
          <w:color w:val="auto"/>
          <w:sz w:val="24"/>
          <w:szCs w:val="24"/>
          <w:highlight w:val="none"/>
        </w:rPr>
      </w:pPr>
      <w:bookmarkStart w:id="0" w:name="_Hlt101846155"/>
      <w:bookmarkEnd w:id="0"/>
      <w:bookmarkStart w:id="1" w:name="_Toc461401724"/>
      <w:bookmarkStart w:id="2" w:name="_Toc16562"/>
      <w:bookmarkStart w:id="3" w:name="_Toc25540"/>
      <w:bookmarkStart w:id="4" w:name="_Toc16943"/>
      <w:bookmarkStart w:id="5" w:name="_Toc6793"/>
      <w:r>
        <w:rPr>
          <w:rFonts w:hint="eastAsia" w:ascii="仿宋" w:hAnsi="仿宋" w:eastAsia="仿宋" w:cs="仿宋"/>
          <w:b/>
          <w:bCs/>
          <w:color w:val="auto"/>
          <w:sz w:val="24"/>
          <w:szCs w:val="24"/>
          <w:highlight w:val="none"/>
          <w:lang w:val="en-US" w:eastAsia="zh-CN"/>
        </w:rPr>
        <w:t>一、</w:t>
      </w:r>
      <w:r>
        <w:rPr>
          <w:rFonts w:hint="eastAsia" w:ascii="仿宋" w:hAnsi="仿宋" w:eastAsia="仿宋" w:cs="仿宋"/>
          <w:b/>
          <w:bCs/>
          <w:color w:val="auto"/>
          <w:sz w:val="24"/>
          <w:szCs w:val="24"/>
          <w:highlight w:val="none"/>
        </w:rPr>
        <w:t>项目概述</w:t>
      </w:r>
      <w:bookmarkEnd w:id="1"/>
      <w:bookmarkEnd w:id="2"/>
      <w:bookmarkEnd w:id="3"/>
      <w:bookmarkEnd w:id="4"/>
      <w:bookmarkEnd w:id="5"/>
    </w:p>
    <w:p w14:paraId="20A57D3E">
      <w:pPr>
        <w:pStyle w:val="3"/>
        <w:pageBreakBefore w:val="0"/>
        <w:kinsoku/>
        <w:wordWrap/>
        <w:overflowPunct/>
        <w:topLinePunct w:val="0"/>
        <w:autoSpaceDE/>
        <w:autoSpaceDN/>
        <w:bidi w:val="0"/>
        <w:adjustRightInd/>
        <w:snapToGrid/>
        <w:spacing w:line="360" w:lineRule="auto"/>
        <w:ind w:firstLine="480" w:firstLineChars="200"/>
        <w:jc w:val="left"/>
        <w:textAlignment w:val="auto"/>
        <w:outlineLvl w:val="9"/>
        <w:rPr>
          <w:rFonts w:hint="eastAsia" w:ascii="仿宋" w:hAnsi="仿宋" w:eastAsia="仿宋" w:cs="仿宋"/>
          <w:b w:val="0"/>
          <w:bCs w:val="0"/>
          <w:color w:val="000000"/>
          <w:sz w:val="24"/>
          <w:szCs w:val="24"/>
          <w:highlight w:val="yellow"/>
        </w:rPr>
      </w:pPr>
      <w:bookmarkStart w:id="6" w:name="_Toc6628"/>
      <w:r>
        <w:rPr>
          <w:rFonts w:hint="eastAsia" w:ascii="仿宋" w:hAnsi="仿宋" w:eastAsia="仿宋"/>
          <w:color w:val="auto"/>
          <w:sz w:val="24"/>
          <w:szCs w:val="28"/>
          <w:highlight w:val="none"/>
          <w:lang w:val="en-US" w:eastAsia="zh-CN"/>
        </w:rPr>
        <w:t>本项目共1个包，为采购宜宾市南溪区南溪街道社区卫生服务中心医疗责任保险服务，采购预算为1.513万元。</w:t>
      </w:r>
    </w:p>
    <w:bookmarkEnd w:id="6"/>
    <w:p w14:paraId="6018750E">
      <w:pPr>
        <w:keepNext/>
        <w:keepLines/>
        <w:pageBreakBefore w:val="0"/>
        <w:widowControl w:val="0"/>
        <w:numPr>
          <w:ilvl w:val="0"/>
          <w:numId w:val="0"/>
        </w:numPr>
        <w:tabs>
          <w:tab w:val="left" w:pos="0"/>
        </w:tabs>
        <w:kinsoku/>
        <w:wordWrap/>
        <w:overflowPunct/>
        <w:topLinePunct w:val="0"/>
        <w:autoSpaceDE/>
        <w:autoSpaceDN/>
        <w:bidi w:val="0"/>
        <w:adjustRightInd/>
        <w:snapToGrid/>
        <w:spacing w:before="0" w:after="0" w:line="360" w:lineRule="auto"/>
        <w:jc w:val="left"/>
        <w:textAlignment w:val="auto"/>
        <w:outlineLvl w:val="1"/>
        <w:rPr>
          <w:rFonts w:hint="eastAsia" w:ascii="仿宋" w:hAnsi="仿宋" w:eastAsia="仿宋" w:cs="仿宋"/>
          <w:b/>
          <w:bCs/>
          <w:color w:val="000000"/>
          <w:sz w:val="24"/>
          <w:szCs w:val="24"/>
          <w:highlight w:val="none"/>
          <w:lang w:eastAsia="zh-CN"/>
        </w:rPr>
      </w:pPr>
      <w:r>
        <w:rPr>
          <w:rFonts w:hint="eastAsia" w:ascii="仿宋" w:hAnsi="仿宋" w:eastAsia="仿宋" w:cs="仿宋"/>
          <w:b/>
          <w:bCs/>
          <w:color w:val="000000"/>
          <w:sz w:val="24"/>
          <w:szCs w:val="24"/>
          <w:highlight w:val="none"/>
        </w:rPr>
        <w:t>二、采购清单</w:t>
      </w:r>
      <w:r>
        <w:rPr>
          <w:rFonts w:hint="eastAsia" w:ascii="仿宋" w:hAnsi="仿宋" w:eastAsia="仿宋" w:cs="仿宋"/>
          <w:b/>
          <w:bCs/>
          <w:color w:val="000000"/>
          <w:sz w:val="24"/>
          <w:szCs w:val="24"/>
          <w:highlight w:val="none"/>
          <w:lang w:val="en-US" w:eastAsia="zh-CN"/>
        </w:rPr>
        <w:t>及技术参数要求</w:t>
      </w:r>
      <w:r>
        <w:rPr>
          <w:rFonts w:hint="eastAsia" w:ascii="仿宋" w:hAnsi="仿宋" w:eastAsia="仿宋" w:cs="仿宋"/>
          <w:b/>
          <w:bCs/>
          <w:color w:val="auto"/>
          <w:sz w:val="24"/>
          <w:szCs w:val="24"/>
          <w:highlight w:val="none"/>
        </w:rPr>
        <w:t>（实质性要求</w:t>
      </w:r>
      <w:r>
        <w:rPr>
          <w:rFonts w:hint="eastAsia" w:ascii="仿宋" w:hAnsi="仿宋" w:eastAsia="仿宋" w:cs="仿宋"/>
          <w:b/>
          <w:bCs/>
          <w:color w:val="auto"/>
          <w:sz w:val="24"/>
          <w:szCs w:val="24"/>
          <w:highlight w:val="none"/>
          <w:lang w:eastAsia="zh-CN"/>
        </w:rPr>
        <w:t>）</w:t>
      </w:r>
    </w:p>
    <w:p w14:paraId="507BA11C">
      <w:pPr>
        <w:keepNext/>
        <w:keepLines/>
        <w:pageBreakBefore w:val="0"/>
        <w:widowControl w:val="0"/>
        <w:numPr>
          <w:ilvl w:val="0"/>
          <w:numId w:val="0"/>
        </w:numPr>
        <w:tabs>
          <w:tab w:val="left" w:pos="0"/>
        </w:tabs>
        <w:kinsoku/>
        <w:wordWrap/>
        <w:overflowPunct/>
        <w:topLinePunct w:val="0"/>
        <w:autoSpaceDE/>
        <w:autoSpaceDN/>
        <w:bidi w:val="0"/>
        <w:adjustRightInd/>
        <w:snapToGrid/>
        <w:spacing w:before="0" w:after="0" w:line="360" w:lineRule="auto"/>
        <w:jc w:val="left"/>
        <w:textAlignment w:val="auto"/>
        <w:outlineLvl w:val="1"/>
        <w:rPr>
          <w:rFonts w:hint="eastAsia" w:ascii="仿宋" w:hAnsi="仿宋" w:eastAsia="仿宋" w:cs="仿宋"/>
          <w:b/>
          <w:bCs/>
          <w:color w:val="auto"/>
          <w:sz w:val="24"/>
          <w:szCs w:val="24"/>
          <w:highlight w:val="none"/>
          <w:lang w:eastAsia="zh-CN"/>
        </w:rPr>
      </w:pPr>
      <w:r>
        <w:rPr>
          <w:rFonts w:hint="eastAsia" w:ascii="仿宋" w:hAnsi="仿宋" w:eastAsia="仿宋" w:cs="仿宋"/>
          <w:b/>
          <w:bCs/>
          <w:color w:val="000000"/>
          <w:sz w:val="24"/>
          <w:szCs w:val="24"/>
          <w:highlight w:val="none"/>
          <w:lang w:eastAsia="zh-CN"/>
        </w:rPr>
        <w:t>（</w:t>
      </w:r>
      <w:r>
        <w:rPr>
          <w:rFonts w:hint="eastAsia" w:ascii="仿宋" w:hAnsi="仿宋" w:eastAsia="仿宋" w:cs="仿宋"/>
          <w:b/>
          <w:bCs/>
          <w:color w:val="000000"/>
          <w:sz w:val="24"/>
          <w:szCs w:val="24"/>
          <w:highlight w:val="none"/>
          <w:lang w:val="en-US" w:eastAsia="zh-CN"/>
        </w:rPr>
        <w:t>一</w:t>
      </w: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rPr>
        <w:t>技术参数要求（实质性要求</w:t>
      </w:r>
      <w:r>
        <w:rPr>
          <w:rFonts w:hint="eastAsia" w:ascii="仿宋" w:hAnsi="仿宋" w:eastAsia="仿宋" w:cs="仿宋"/>
          <w:b/>
          <w:bCs/>
          <w:color w:val="auto"/>
          <w:sz w:val="24"/>
          <w:szCs w:val="24"/>
          <w:highlight w:val="none"/>
          <w:lang w:eastAsia="zh-CN"/>
        </w:rPr>
        <w:t>）</w:t>
      </w:r>
    </w:p>
    <w:tbl>
      <w:tblPr>
        <w:tblStyle w:val="6"/>
        <w:tblW w:w="9218"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56"/>
        <w:gridCol w:w="892"/>
        <w:gridCol w:w="7870"/>
      </w:tblGrid>
      <w:tr w14:paraId="27C74D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26" w:hRule="atLeast"/>
          <w:jc w:val="center"/>
        </w:trPr>
        <w:tc>
          <w:tcPr>
            <w:tcW w:w="456" w:type="dxa"/>
          </w:tcPr>
          <w:p w14:paraId="2428FB53">
            <w:pPr>
              <w:pStyle w:val="13"/>
              <w:jc w:val="center"/>
              <w:rPr>
                <w:rFonts w:hint="default"/>
                <w:sz w:val="24"/>
                <w:szCs w:val="24"/>
              </w:rPr>
            </w:pPr>
            <w:r>
              <w:rPr>
                <w:rFonts w:ascii="仿宋_GB2312" w:hAnsi="仿宋_GB2312" w:eastAsia="仿宋_GB2312" w:cs="仿宋_GB2312"/>
                <w:sz w:val="24"/>
                <w:szCs w:val="24"/>
              </w:rPr>
              <w:t>序号</w:t>
            </w:r>
          </w:p>
        </w:tc>
        <w:tc>
          <w:tcPr>
            <w:tcW w:w="892" w:type="dxa"/>
          </w:tcPr>
          <w:p w14:paraId="1C50357F">
            <w:pPr>
              <w:pStyle w:val="13"/>
              <w:jc w:val="center"/>
              <w:rPr>
                <w:rFonts w:hint="default"/>
                <w:sz w:val="24"/>
                <w:szCs w:val="24"/>
              </w:rPr>
            </w:pPr>
            <w:r>
              <w:rPr>
                <w:rFonts w:ascii="仿宋_GB2312" w:hAnsi="仿宋_GB2312" w:eastAsia="仿宋_GB2312" w:cs="仿宋_GB2312"/>
                <w:sz w:val="24"/>
                <w:szCs w:val="24"/>
              </w:rPr>
              <w:t>技术要求名称</w:t>
            </w:r>
          </w:p>
        </w:tc>
        <w:tc>
          <w:tcPr>
            <w:tcW w:w="7870" w:type="dxa"/>
            <w:vAlign w:val="center"/>
          </w:tcPr>
          <w:p w14:paraId="4C20F798">
            <w:pPr>
              <w:pStyle w:val="13"/>
              <w:jc w:val="center"/>
              <w:rPr>
                <w:rFonts w:hint="default"/>
                <w:sz w:val="24"/>
                <w:szCs w:val="24"/>
              </w:rPr>
            </w:pPr>
            <w:r>
              <w:rPr>
                <w:rFonts w:ascii="仿宋_GB2312" w:hAnsi="仿宋_GB2312" w:eastAsia="仿宋_GB2312" w:cs="仿宋_GB2312"/>
                <w:sz w:val="24"/>
                <w:szCs w:val="24"/>
              </w:rPr>
              <w:t>技术参数与性能指标</w:t>
            </w:r>
          </w:p>
        </w:tc>
      </w:tr>
      <w:tr w14:paraId="61F59F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751" w:hRule="atLeast"/>
          <w:jc w:val="center"/>
        </w:trPr>
        <w:tc>
          <w:tcPr>
            <w:tcW w:w="456" w:type="dxa"/>
          </w:tcPr>
          <w:p w14:paraId="23F01679">
            <w:pPr>
              <w:pStyle w:val="13"/>
              <w:jc w:val="center"/>
              <w:rPr>
                <w:rFonts w:hint="default"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1</w:t>
            </w:r>
          </w:p>
        </w:tc>
        <w:tc>
          <w:tcPr>
            <w:tcW w:w="892" w:type="dxa"/>
          </w:tcPr>
          <w:p w14:paraId="6AED5826">
            <w:pPr>
              <w:pStyle w:val="13"/>
              <w:rPr>
                <w:rFonts w:hint="default"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技术要求</w:t>
            </w:r>
          </w:p>
        </w:tc>
        <w:tc>
          <w:tcPr>
            <w:tcW w:w="7870" w:type="dxa"/>
          </w:tcPr>
          <w:p w14:paraId="2E5B9B9F">
            <w:pPr>
              <w:pStyle w:val="13"/>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firstLine="480" w:firstLineChars="200"/>
              <w:jc w:val="both"/>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一、保险范围</w:t>
            </w:r>
          </w:p>
          <w:p w14:paraId="0B6DF94F">
            <w:pPr>
              <w:pStyle w:val="13"/>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firstLine="480" w:firstLineChars="200"/>
              <w:jc w:val="both"/>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在保险单中载明的被保险人的医务人员(以下简称投保医务人员)在诊疗活动中，因执业过失造成患者人身损害，在本保险期间内，由患者或其近亲属首次向被保险人提出索赔申请依法应由被保险人承担民事赔偿责任时，保险人按照保险合同的约定负责赔偿。</w:t>
            </w:r>
          </w:p>
          <w:p w14:paraId="1501F74F">
            <w:pPr>
              <w:pStyle w:val="13"/>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firstLine="480" w:firstLineChars="200"/>
              <w:jc w:val="both"/>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投保病床数、医务人员数、年度手术次数由采购人统计核定（南溪区南溪街道社区卫生服务中心为一级乙等医院，医院开放床位5张（编制床位</w:t>
            </w:r>
            <w:r>
              <w:rPr>
                <w:rFonts w:hint="eastAsia" w:ascii="仿宋" w:hAnsi="仿宋" w:eastAsia="仿宋" w:cstheme="minorBidi"/>
                <w:color w:val="E54C5E" w:themeColor="accent6"/>
                <w:kern w:val="2"/>
                <w:sz w:val="24"/>
                <w:szCs w:val="28"/>
                <w:highlight w:val="none"/>
                <w:lang w:val="en-US" w:eastAsia="zh-CN" w:bidi="ar-SA"/>
                <w14:textFill>
                  <w14:solidFill>
                    <w14:schemeClr w14:val="accent6"/>
                  </w14:solidFill>
                </w14:textFill>
              </w:rPr>
              <w:t>15</w:t>
            </w:r>
            <w:r>
              <w:rPr>
                <w:rFonts w:hint="eastAsia" w:ascii="仿宋" w:hAnsi="仿宋" w:eastAsia="仿宋" w:cstheme="minorBidi"/>
                <w:color w:val="auto"/>
                <w:kern w:val="2"/>
                <w:sz w:val="24"/>
                <w:szCs w:val="28"/>
                <w:highlight w:val="none"/>
                <w:lang w:val="en-US" w:eastAsia="zh-CN" w:bidi="ar-SA"/>
              </w:rPr>
              <w:t>张），现有卫技在岗职工约55人，年总诊疗12688人次，年住院病人 1人次，年手术量：</w:t>
            </w:r>
            <w:r>
              <w:rPr>
                <w:rFonts w:hint="eastAsia" w:ascii="仿宋" w:hAnsi="仿宋" w:eastAsia="仿宋" w:cstheme="minorBidi"/>
                <w:color w:val="E54C5E" w:themeColor="accent6"/>
                <w:kern w:val="2"/>
                <w:sz w:val="24"/>
                <w:szCs w:val="28"/>
                <w:highlight w:val="none"/>
                <w:lang w:val="en-US" w:eastAsia="zh-CN" w:bidi="ar-SA"/>
                <w14:textFill>
                  <w14:solidFill>
                    <w14:schemeClr w14:val="accent6"/>
                  </w14:solidFill>
                </w14:textFill>
              </w:rPr>
              <w:t>0</w:t>
            </w:r>
            <w:r>
              <w:rPr>
                <w:rFonts w:hint="eastAsia" w:ascii="仿宋" w:hAnsi="仿宋" w:eastAsia="仿宋" w:cstheme="minorBidi"/>
                <w:color w:val="auto"/>
                <w:kern w:val="2"/>
                <w:sz w:val="24"/>
                <w:szCs w:val="28"/>
                <w:highlight w:val="none"/>
                <w:lang w:val="en-US" w:eastAsia="zh-CN" w:bidi="ar-SA"/>
              </w:rPr>
              <w:t>例。在承保期间，我院床位数或医护人员总数浮动小于等于百分之十，不增收保险费。</w:t>
            </w:r>
          </w:p>
          <w:p w14:paraId="0779609A">
            <w:pPr>
              <w:pStyle w:val="13"/>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firstLine="480" w:firstLineChars="200"/>
              <w:jc w:val="both"/>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二、责任赔偿</w:t>
            </w:r>
          </w:p>
          <w:p w14:paraId="567BB1AF">
            <w:pPr>
              <w:pStyle w:val="13"/>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firstLine="480" w:firstLineChars="200"/>
              <w:jc w:val="both"/>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1）赔偿的计算标准:《中华人民共和国民法典》、《医疗纠纷预防和处理条例》、《医疗事故处理条例》、《最高人民法院关于审理医疗损害责任纠纷案件适用法律若干问题的解释》、《最高人民法院关于审理人身损害赔偿案件适用法律若干问题的解释》</w:t>
            </w:r>
          </w:p>
          <w:p w14:paraId="625C7A30">
            <w:pPr>
              <w:pStyle w:val="13"/>
              <w:keepNext w:val="0"/>
              <w:keepLines w:val="0"/>
              <w:pageBreakBefore w:val="0"/>
              <w:widowControl/>
              <w:numPr>
                <w:ilvl w:val="0"/>
                <w:numId w:val="0"/>
              </w:numPr>
              <w:kinsoku/>
              <w:wordWrap/>
              <w:overflowPunct/>
              <w:topLinePunct w:val="0"/>
              <w:autoSpaceDE/>
              <w:autoSpaceDN/>
              <w:bidi w:val="0"/>
              <w:adjustRightInd/>
              <w:snapToGrid/>
              <w:spacing w:line="400" w:lineRule="exact"/>
              <w:ind w:firstLine="480" w:firstLineChars="200"/>
              <w:jc w:val="both"/>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（2）发生医疗纠纷后，医患双方按照《医疗纠纷预防和处理条例》通过下列途径解决的，供应商应予以认可:</w:t>
            </w:r>
          </w:p>
          <w:p w14:paraId="10C867B2">
            <w:pPr>
              <w:pStyle w:val="13"/>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firstLine="480" w:firstLineChars="200"/>
              <w:jc w:val="both"/>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1)双方自愿协商;</w:t>
            </w:r>
          </w:p>
          <w:p w14:paraId="733ECC7C">
            <w:pPr>
              <w:pStyle w:val="13"/>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firstLine="480" w:firstLineChars="200"/>
              <w:jc w:val="both"/>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2)申请人民调解;</w:t>
            </w:r>
          </w:p>
          <w:p w14:paraId="4B37B36C">
            <w:pPr>
              <w:pStyle w:val="13"/>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firstLine="480" w:firstLineChars="200"/>
              <w:jc w:val="both"/>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3)申请行政调解;</w:t>
            </w:r>
          </w:p>
          <w:p w14:paraId="32EB122C">
            <w:pPr>
              <w:pStyle w:val="13"/>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firstLine="480" w:firstLineChars="200"/>
              <w:jc w:val="both"/>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4)向人民法院提起诉讼;</w:t>
            </w:r>
          </w:p>
          <w:p w14:paraId="7F24F6F3">
            <w:pPr>
              <w:pStyle w:val="13"/>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firstLine="480" w:firstLineChars="200"/>
              <w:jc w:val="both"/>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5)法律、法规规定的其他途径;</w:t>
            </w:r>
          </w:p>
          <w:p w14:paraId="4822C7BB">
            <w:pPr>
              <w:pStyle w:val="13"/>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firstLine="480" w:firstLineChars="200"/>
              <w:jc w:val="both"/>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（3）伤残等级标准:《人体损伤致残程度分级》、《医疗事故分级标准》或鉴定结果。</w:t>
            </w:r>
          </w:p>
          <w:p w14:paraId="795529B8">
            <w:pPr>
              <w:pStyle w:val="13"/>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firstLine="480" w:firstLineChars="200"/>
              <w:jc w:val="both"/>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（4）特殊医疗纠纷情形(患者死亡、重残，存在过错、患方配合困难、有群体性事件可能、涉外及边远地区或少数民族):</w:t>
            </w:r>
          </w:p>
          <w:p w14:paraId="532E8169">
            <w:pPr>
              <w:pStyle w:val="13"/>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firstLine="480" w:firstLineChars="200"/>
              <w:jc w:val="both"/>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1)按照《四川省医疗纠纷预防与处置办法》的规定，赔偿额在2万元(含)以下的医疗纠纷医患双方可自行协商，认可医患双方协商，对医患双方协商次数不做限制，扣除”免赔金额后的金额”即为保险赔付金额;</w:t>
            </w:r>
          </w:p>
          <w:p w14:paraId="3A2785DE">
            <w:pPr>
              <w:pStyle w:val="13"/>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firstLine="480" w:firstLineChars="200"/>
              <w:jc w:val="both"/>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2)涉及四级或三级医疗事故、或伤残等级可能在十至六级的医疗纠纷，医务科内部或区医学会组织的鉴定存在过错，赔偿金额在2-40万元(含)的医疗纠纷，双方认可法院、卫生行政部门、人民调解委员会的调解结果或事先由供应商医核人员审核认定的赔付金额;</w:t>
            </w:r>
          </w:p>
          <w:p w14:paraId="19475EA2">
            <w:pPr>
              <w:pStyle w:val="13"/>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firstLine="480" w:firstLineChars="200"/>
              <w:jc w:val="both"/>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3)涉及二级医疗事故、或伤残等级可能在五至二级的医疗纠纷，预估鉴定风险极大，医务科内部或区医学会组织的鉴定存在过错，赔偿金额在10-70万元(含)的医疗纠纷，双方认可法院、卫生行政部门、人民调解委员会的调解结果或事先由供应商医核人员审核认定的赔付金额;</w:t>
            </w:r>
          </w:p>
          <w:p w14:paraId="62061D2E">
            <w:pPr>
              <w:pStyle w:val="13"/>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firstLine="480" w:firstLineChars="200"/>
              <w:jc w:val="both"/>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4)涉及一级医疗事故、或伤残等级在二级以上的医疗纠纷，预估鉴定风险极大，医务科内部或区医学会组织的鉴定存在过错，赔偿金额在50万元(含)以上的医疗纠纷，双方认可法院、卫生行政部门、人民调解委员会的调解结果或事先由供应商医核人员审核认定的赔付金额;</w:t>
            </w:r>
          </w:p>
          <w:p w14:paraId="1F9A4D9F">
            <w:pPr>
              <w:pStyle w:val="13"/>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firstLine="480" w:firstLineChars="200"/>
              <w:jc w:val="both"/>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5)患方拒不配合第三方鉴定的医疗纠纷，供应商须积极协助解决，医务科内部或区医学会组织的鉴定存在过错，双方认可法院、卫生行政部门、人民调解委员会的调解结果或事先由供应商医核人员审核认定的赔付金额;</w:t>
            </w:r>
          </w:p>
          <w:p w14:paraId="7DA0936A">
            <w:pPr>
              <w:pStyle w:val="13"/>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firstLine="480" w:firstLineChars="200"/>
              <w:jc w:val="both"/>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6)有群体性事件可能、或涉外、或涉及边远地区、或涉及少数民族医务科内部或区医学会组织的鉴定存在过错，需及时解决的医疗纠纷，双方认可讨论结果，认可法院、卫生行政部门、人民调解委员会的调解结果或事先由供应商医核人员审核认定的赔付金额;</w:t>
            </w:r>
          </w:p>
          <w:p w14:paraId="144454BA">
            <w:pPr>
              <w:pStyle w:val="13"/>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firstLine="480" w:firstLineChars="200"/>
              <w:jc w:val="both"/>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7)因病历瑕疵，如:①病历不完整、内容不完善;②病历中存在其他人员资料;③未按规定修改病历;④病历书写存在明显过错或矛盾的;⑤医患双方对病历真实性存在严重异议;⑥其他：医务科组织的内部讨论存在过错，预估鉴定风险极大，或可能导致无法鉴定，承担同等及主要责任以上的医疗纠纷，认可法院、卫生行政部门、人民调解委员会的调解结果或事先由供应商医核人员审核认定的赔付金额；</w:t>
            </w:r>
          </w:p>
          <w:p w14:paraId="1C7329EE">
            <w:pPr>
              <w:pStyle w:val="13"/>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firstLine="480" w:firstLineChars="200"/>
              <w:jc w:val="both"/>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8)经治医生未按规定告知患者病情、医疗措施、医疗风险、替代医疗方案，未按规定填写、保管病历资料，或者未按规定补记抢救病历，未按照规定履行告知义务或者取得知情同意的医疗纠纷，医院或医生个人面临重大行政处罚风险的医疗纠纷，双方认可法院、卫生行政部门、人民调解委员会的调解结果或事先由供应商医核人员审核认定的赔付金额;</w:t>
            </w:r>
          </w:p>
          <w:p w14:paraId="091C5872">
            <w:pPr>
              <w:pStyle w:val="13"/>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firstLine="480" w:firstLineChars="200"/>
              <w:jc w:val="both"/>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（5）通过法院、卫生行政部门、人民调解委员会的调解的案件，双方认可精神赔偿项目及费用;</w:t>
            </w:r>
          </w:p>
          <w:p w14:paraId="1F79BDBF">
            <w:pPr>
              <w:pStyle w:val="13"/>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firstLine="480" w:firstLineChars="200"/>
              <w:jc w:val="both"/>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（6）鉴定机构的选择:认可医患双方协商的合法鉴定机构或法院、人民调解委员会、医调委、卫生行政部门认可/指定的鉴定机构;</w:t>
            </w:r>
          </w:p>
          <w:p w14:paraId="1C7101EF">
            <w:pPr>
              <w:pStyle w:val="13"/>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firstLine="480" w:firstLineChars="200"/>
              <w:jc w:val="both"/>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7）责任程度的判定标准:认可1)医务科组织的院内或院外专家讨论结果;2)具有一定行政或管理职能的部门(如:人民调解委员会、医调委)组织的专家讨论结果;3)卫生行政部门组织的专家讨论结果;4)第三方鉴定机构;5)法院判决;</w:t>
            </w:r>
          </w:p>
          <w:p w14:paraId="3663F47C">
            <w:pPr>
              <w:pStyle w:val="13"/>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firstLine="480" w:firstLineChars="200"/>
              <w:jc w:val="both"/>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（8）尸检费用、医疗事故、医疗过错及伤残等鉴定费(以发票为准，可以为复印件)，司法诉讼案件受理费(以法院判决为赔付条件)、诉讼律师费可以纳入保险赔付金的计算;</w:t>
            </w:r>
          </w:p>
          <w:p w14:paraId="33A6F78A">
            <w:pPr>
              <w:pStyle w:val="13"/>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firstLine="480" w:firstLineChars="200"/>
              <w:jc w:val="both"/>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（9）因本次事故原因导致医疗欠费金额，剔除原有基础疾病治疗费用后的剩余部分费用，纳入赔偿范围;</w:t>
            </w:r>
          </w:p>
          <w:p w14:paraId="27732F58">
            <w:pPr>
              <w:pStyle w:val="13"/>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firstLine="480" w:firstLineChars="200"/>
              <w:jc w:val="both"/>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（10）免赔条件:每次事故绝对免赔1000元或损失金额的10%,二者以高者为准;</w:t>
            </w:r>
          </w:p>
          <w:p w14:paraId="08EBFE04">
            <w:pPr>
              <w:pStyle w:val="13"/>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firstLine="480" w:firstLineChars="200"/>
              <w:jc w:val="both"/>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（11）事件发生时间的认定:以医务科收到正式投诉或事故涉及科室书面正式上报的时间为发生时间;</w:t>
            </w:r>
          </w:p>
          <w:p w14:paraId="607C9806">
            <w:pPr>
              <w:pStyle w:val="13"/>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firstLine="480" w:firstLineChars="200"/>
              <w:jc w:val="both"/>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（12）责任赔偿过程中，供应商可以参与医务科组织或者法院、卫生行政部门、人民调解委员会的讨论，并提出意见和解决方案，遇特殊案例，双方可就特殊环节讨论解决。</w:t>
            </w:r>
          </w:p>
          <w:p w14:paraId="26E0FD57">
            <w:pPr>
              <w:pStyle w:val="13"/>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firstLine="480" w:firstLineChars="200"/>
              <w:jc w:val="both"/>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三、理赔服务</w:t>
            </w:r>
          </w:p>
          <w:p w14:paraId="2063C04F">
            <w:pPr>
              <w:pStyle w:val="13"/>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firstLine="480" w:firstLineChars="200"/>
              <w:jc w:val="both"/>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（1）采购人报案方式:微信、QQ、电话、短信均可作为报案途径和方式，全天24小时受理医疗纠纷的报案;设立24小时报案电话。</w:t>
            </w:r>
          </w:p>
          <w:p w14:paraId="2DD5580A">
            <w:pPr>
              <w:pStyle w:val="13"/>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firstLine="480" w:firstLineChars="200"/>
              <w:jc w:val="both"/>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（2）配备至少4人的服务团队，其中包含项目负责人1人。设立全天24小时受理医疗纠纷报案的理赔专员1名，并在报案后20分钟内响应，1小时内到达现场处理相关问题。</w:t>
            </w:r>
          </w:p>
          <w:p w14:paraId="6C9F3A18">
            <w:pPr>
              <w:pStyle w:val="13"/>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firstLine="480" w:firstLineChars="200"/>
              <w:jc w:val="both"/>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3）赔付时限:在接到理赔申请及完整的索赔资料后，对确属保险责任范围内，双方确定理赔金额之后，赔款金额≤RMB20000元时在2个工作日内予以赔付，RMB20000元&lt;赔款金额≤RMB50000在3个工作日内予以赔付，RMB50000元&lt;赔款金额≤RMB100000在5个工作日内予以赔付，RMB100000元&lt;赔款金额在7个工作日内支付;</w:t>
            </w:r>
          </w:p>
          <w:p w14:paraId="338488FB">
            <w:pPr>
              <w:pStyle w:val="13"/>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firstLine="480" w:firstLineChars="200"/>
              <w:jc w:val="both"/>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（4）供应商认为有关的证明和资料不完整的，应当及时一次性通知采购人补充提供;经医、患双方协商处理成功后，按"赔付时限”及时履行赔偿义务:</w:t>
            </w:r>
          </w:p>
          <w:p w14:paraId="7E87CC23">
            <w:pPr>
              <w:pStyle w:val="13"/>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firstLine="480" w:firstLineChars="200"/>
              <w:jc w:val="both"/>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5）若因供应商配合不力，导致医疗纠纷拖延、难以解决，导致采购人名誉、经济等进一步损失的，包括且不限于如发生保监会投诉、双方诉讼、患者因医疗纠纷发生过激行为或自残自伤等情形的，采购人有权解除合同;合同解除时间以前已产生的保险备案，仍按原有合同执行。</w:t>
            </w:r>
          </w:p>
          <w:p w14:paraId="3AAF5B71">
            <w:pPr>
              <w:pStyle w:val="13"/>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firstLine="480" w:firstLineChars="200"/>
              <w:jc w:val="both"/>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6）保险公司按时向采购人通报合同执行情况，接受采购人相关监督机构的监督。与采购人保持经常联系、共同商议、及时解决在保险合同执行过程中出现的问题。如发生重大、特大事故，保险公司须和采购人密切合作，对确属保险责任范围内的给予及时赔付。</w:t>
            </w:r>
          </w:p>
          <w:p w14:paraId="7453DA49">
            <w:pPr>
              <w:pStyle w:val="13"/>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firstLine="480" w:firstLineChars="200"/>
              <w:jc w:val="both"/>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四、投保时限</w:t>
            </w:r>
          </w:p>
          <w:p w14:paraId="4FEA135C">
            <w:pPr>
              <w:pStyle w:val="13"/>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firstLine="480" w:firstLineChars="200"/>
              <w:jc w:val="both"/>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采购合同签订生效之日起15个工作日内完成全部参保工作，并向采购人出具保险发票及保险保单。</w:t>
            </w:r>
          </w:p>
        </w:tc>
      </w:tr>
    </w:tbl>
    <w:p w14:paraId="5821EDD5">
      <w:pPr>
        <w:keepNext w:val="0"/>
        <w:keepLines w:val="0"/>
        <w:pageBreakBefore w:val="0"/>
        <w:tabs>
          <w:tab w:val="left" w:pos="0"/>
        </w:tabs>
        <w:kinsoku/>
        <w:wordWrap/>
        <w:overflowPunct/>
        <w:topLinePunct w:val="0"/>
        <w:autoSpaceDE/>
        <w:autoSpaceDN/>
        <w:bidi w:val="0"/>
        <w:spacing w:line="520" w:lineRule="exact"/>
        <w:ind w:firstLine="482" w:firstLineChars="200"/>
        <w:textAlignment w:val="auto"/>
        <w:rPr>
          <w:rFonts w:hint="eastAsia" w:ascii="仿宋" w:hAnsi="仿宋" w:eastAsia="仿宋" w:cstheme="minorBidi"/>
          <w:color w:val="auto"/>
          <w:kern w:val="2"/>
          <w:sz w:val="24"/>
          <w:szCs w:val="28"/>
          <w:highlight w:val="none"/>
          <w:lang w:val="en-US" w:eastAsia="zh-CN" w:bidi="ar-SA"/>
        </w:rPr>
      </w:pPr>
      <w:bookmarkStart w:id="7" w:name="_Toc3379_WPSOffice_Level2"/>
      <w:bookmarkStart w:id="8" w:name="_Toc29631"/>
      <w:bookmarkStart w:id="9" w:name="_Toc13771"/>
      <w:bookmarkStart w:id="10" w:name="_Toc28273"/>
      <w:r>
        <w:rPr>
          <w:rFonts w:hint="eastAsia" w:ascii="仿宋" w:hAnsi="仿宋" w:eastAsia="仿宋" w:cstheme="minorBidi"/>
          <w:b/>
          <w:bCs/>
          <w:color w:val="auto"/>
          <w:kern w:val="2"/>
          <w:sz w:val="24"/>
          <w:szCs w:val="28"/>
          <w:highlight w:val="none"/>
          <w:lang w:val="en-US" w:eastAsia="zh-CN" w:bidi="ar-SA"/>
        </w:rPr>
        <w:t>三、服务要求（实质性要求）</w:t>
      </w:r>
    </w:p>
    <w:bookmarkEnd w:id="7"/>
    <w:bookmarkEnd w:id="8"/>
    <w:bookmarkEnd w:id="9"/>
    <w:bookmarkEnd w:id="10"/>
    <w:p w14:paraId="132B6F46">
      <w:pPr>
        <w:pStyle w:val="13"/>
        <w:keepNext w:val="0"/>
        <w:keepLines w:val="0"/>
        <w:pageBreakBefore w:val="0"/>
        <w:numPr>
          <w:ilvl w:val="0"/>
          <w:numId w:val="0"/>
        </w:numPr>
        <w:kinsoku/>
        <w:wordWrap/>
        <w:overflowPunct/>
        <w:topLinePunct w:val="0"/>
        <w:autoSpaceDE/>
        <w:autoSpaceDN/>
        <w:bidi w:val="0"/>
        <w:spacing w:line="360" w:lineRule="auto"/>
        <w:ind w:leftChars="0" w:firstLine="480" w:firstLineChars="200"/>
        <w:jc w:val="both"/>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（一）保险公司对发生的理赔案件安排专人负责，每月与采购人电话联系一次，特殊情况做到随叫随到，提供保险服务。</w:t>
      </w:r>
    </w:p>
    <w:p w14:paraId="7F0A259C">
      <w:pPr>
        <w:pStyle w:val="13"/>
        <w:keepNext w:val="0"/>
        <w:keepLines w:val="0"/>
        <w:pageBreakBefore w:val="0"/>
        <w:kinsoku/>
        <w:wordWrap/>
        <w:overflowPunct/>
        <w:topLinePunct w:val="0"/>
        <w:autoSpaceDE/>
        <w:autoSpaceDN/>
        <w:bidi w:val="0"/>
        <w:spacing w:line="360" w:lineRule="auto"/>
        <w:ind w:firstLine="480" w:firstLineChars="200"/>
        <w:jc w:val="both"/>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（二）保险公司安排专人每月与医务科对保险责任人进行核减（离职、退休、长假或长期外出学习人员等）或和核增（新进人员、长假、长期外出学习返回人员）。</w:t>
      </w:r>
    </w:p>
    <w:p w14:paraId="2EC61800">
      <w:pPr>
        <w:keepNext w:val="0"/>
        <w:keepLines w:val="0"/>
        <w:pageBreakBefore w:val="0"/>
        <w:tabs>
          <w:tab w:val="left" w:pos="0"/>
        </w:tabs>
        <w:kinsoku/>
        <w:wordWrap/>
        <w:overflowPunct/>
        <w:topLinePunct w:val="0"/>
        <w:autoSpaceDE/>
        <w:autoSpaceDN/>
        <w:bidi w:val="0"/>
        <w:spacing w:line="360" w:lineRule="auto"/>
        <w:ind w:firstLine="480" w:firstLineChars="200"/>
        <w:textAlignment w:val="auto"/>
        <w:rPr>
          <w:rFonts w:hint="default"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三）责任限额要求:年度医疗责任累计赔偿限额不低于80万元，每次事故赔偿限额20万元，被投保医护人员每次赔偿限额20万元;年度法律费用累计赔偿限额10万元，法律费用不设免赔额;精神损害每次事故每位患者赔偿限额6万元。</w:t>
      </w:r>
    </w:p>
    <w:p w14:paraId="70A4D660">
      <w:pPr>
        <w:keepNext w:val="0"/>
        <w:keepLines w:val="0"/>
        <w:pageBreakBefore w:val="0"/>
        <w:tabs>
          <w:tab w:val="left" w:pos="0"/>
        </w:tabs>
        <w:kinsoku/>
        <w:wordWrap/>
        <w:overflowPunct/>
        <w:topLinePunct w:val="0"/>
        <w:autoSpaceDE/>
        <w:autoSpaceDN/>
        <w:bidi w:val="0"/>
        <w:spacing w:line="360" w:lineRule="auto"/>
        <w:ind w:firstLine="480" w:firstLineChars="200"/>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（四）其他要求：</w:t>
      </w:r>
    </w:p>
    <w:p w14:paraId="16AFAACE">
      <w:pPr>
        <w:keepNext w:val="0"/>
        <w:keepLines w:val="0"/>
        <w:pageBreakBefore w:val="0"/>
        <w:tabs>
          <w:tab w:val="left" w:pos="0"/>
        </w:tabs>
        <w:kinsoku/>
        <w:wordWrap/>
        <w:overflowPunct/>
        <w:topLinePunct w:val="0"/>
        <w:autoSpaceDE/>
        <w:autoSpaceDN/>
        <w:bidi w:val="0"/>
        <w:spacing w:line="360" w:lineRule="auto"/>
        <w:ind w:firstLine="480" w:firstLineChars="200"/>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1.本项目医疗责任险包含附加医疗机构场所责任及外请医务人员责任，其中：①医疗机构场所责任累计责任限额:¥800000.00元,每次事故每人责任限赔额:¥100000.00元；②外请医务人员（目前3名，可动态调整）累计责任限额:¥800000.00元,每人医疗费用责任限额:</w:t>
      </w:r>
      <w:bookmarkStart w:id="12" w:name="_GoBack"/>
      <w:bookmarkEnd w:id="12"/>
      <w:r>
        <w:rPr>
          <w:rFonts w:hint="eastAsia" w:ascii="仿宋" w:hAnsi="仿宋" w:eastAsia="仿宋" w:cstheme="minorBidi"/>
          <w:color w:val="auto"/>
          <w:kern w:val="2"/>
          <w:sz w:val="24"/>
          <w:szCs w:val="28"/>
          <w:highlight w:val="none"/>
          <w:lang w:val="en-US" w:eastAsia="zh-CN" w:bidi="ar-SA"/>
        </w:rPr>
        <w:t>¥200000.00元,每名患者责任限额:¥200,000.00元。</w:t>
      </w:r>
    </w:p>
    <w:p w14:paraId="11EAA2F1">
      <w:pPr>
        <w:keepNext w:val="0"/>
        <w:keepLines w:val="0"/>
        <w:pageBreakBefore w:val="0"/>
        <w:tabs>
          <w:tab w:val="left" w:pos="0"/>
        </w:tabs>
        <w:kinsoku/>
        <w:wordWrap/>
        <w:overflowPunct/>
        <w:topLinePunct w:val="0"/>
        <w:autoSpaceDE/>
        <w:autoSpaceDN/>
        <w:bidi w:val="0"/>
        <w:spacing w:line="360" w:lineRule="auto"/>
        <w:ind w:firstLine="480" w:firstLineChars="200"/>
        <w:textAlignment w:val="auto"/>
        <w:rPr>
          <w:rFonts w:hint="eastAsia" w:ascii="仿宋_GB2312" w:hAnsi="仿宋_GB2312" w:eastAsia="仿宋_GB2312" w:cs="仿宋_GB2312"/>
          <w:kern w:val="2"/>
          <w:sz w:val="24"/>
          <w:szCs w:val="24"/>
          <w:lang w:val="en-US" w:eastAsia="zh-CN" w:bidi="ar-SA"/>
        </w:rPr>
      </w:pPr>
      <w:r>
        <w:rPr>
          <w:rFonts w:hint="eastAsia" w:ascii="仿宋" w:hAnsi="仿宋" w:eastAsia="仿宋" w:cstheme="minorBidi"/>
          <w:color w:val="auto"/>
          <w:kern w:val="2"/>
          <w:sz w:val="24"/>
          <w:szCs w:val="28"/>
          <w:highlight w:val="none"/>
          <w:lang w:val="en-US" w:eastAsia="zh-CN" w:bidi="ar-SA"/>
        </w:rPr>
        <w:t xml:space="preserve">2.未载明或者载明的标的名称、数量、计量单位及其他政府采购合同实质性内容与采购文件要求不一致，且采购单位无法接受的，属于无效响应； </w:t>
      </w:r>
    </w:p>
    <w:p w14:paraId="7E04647A">
      <w:pPr>
        <w:keepNext w:val="0"/>
        <w:keepLines w:val="0"/>
        <w:pageBreakBefore w:val="0"/>
        <w:tabs>
          <w:tab w:val="left" w:pos="0"/>
        </w:tabs>
        <w:kinsoku/>
        <w:wordWrap/>
        <w:overflowPunct/>
        <w:topLinePunct w:val="0"/>
        <w:autoSpaceDE/>
        <w:autoSpaceDN/>
        <w:bidi w:val="0"/>
        <w:spacing w:line="520" w:lineRule="exact"/>
        <w:ind w:firstLine="482" w:firstLineChars="200"/>
        <w:textAlignment w:val="auto"/>
        <w:rPr>
          <w:rFonts w:hint="eastAsia" w:ascii="仿宋" w:hAnsi="仿宋" w:eastAsia="仿宋" w:cstheme="minorBidi"/>
          <w:b/>
          <w:bCs/>
          <w:color w:val="auto"/>
          <w:kern w:val="2"/>
          <w:sz w:val="24"/>
          <w:szCs w:val="28"/>
          <w:highlight w:val="none"/>
          <w:lang w:val="en-US" w:eastAsia="zh-CN" w:bidi="ar-SA"/>
        </w:rPr>
      </w:pPr>
      <w:r>
        <w:rPr>
          <w:rFonts w:hint="eastAsia" w:ascii="仿宋" w:hAnsi="仿宋" w:eastAsia="仿宋" w:cstheme="minorBidi"/>
          <w:b/>
          <w:bCs/>
          <w:color w:val="auto"/>
          <w:kern w:val="2"/>
          <w:sz w:val="24"/>
          <w:szCs w:val="28"/>
          <w:highlight w:val="none"/>
          <w:lang w:val="en-US" w:eastAsia="zh-CN" w:bidi="ar-SA"/>
        </w:rPr>
        <w:t>四、商务要求（实质性要求）</w:t>
      </w:r>
    </w:p>
    <w:p w14:paraId="60422F08">
      <w:pPr>
        <w:keepNext w:val="0"/>
        <w:keepLines w:val="0"/>
        <w:pageBreakBefore w:val="0"/>
        <w:tabs>
          <w:tab w:val="left" w:pos="0"/>
        </w:tabs>
        <w:kinsoku/>
        <w:wordWrap/>
        <w:overflowPunct/>
        <w:topLinePunct w:val="0"/>
        <w:autoSpaceDE/>
        <w:autoSpaceDN/>
        <w:bidi w:val="0"/>
        <w:spacing w:line="520" w:lineRule="exact"/>
        <w:ind w:firstLine="480" w:firstLineChars="200"/>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（一）服务时间：</w:t>
      </w:r>
      <w:bookmarkStart w:id="11" w:name="OLE_LINK2"/>
      <w:r>
        <w:rPr>
          <w:rFonts w:hint="eastAsia" w:ascii="仿宋" w:hAnsi="仿宋" w:eastAsia="仿宋" w:cstheme="minorBidi"/>
          <w:color w:val="auto"/>
          <w:kern w:val="2"/>
          <w:sz w:val="24"/>
          <w:szCs w:val="28"/>
          <w:highlight w:val="none"/>
          <w:lang w:val="en-US" w:eastAsia="zh-CN" w:bidi="ar-SA"/>
        </w:rPr>
        <w:t>合同签订生效之日起一年</w:t>
      </w:r>
      <w:bookmarkEnd w:id="11"/>
      <w:r>
        <w:rPr>
          <w:rFonts w:hint="eastAsia" w:ascii="仿宋" w:hAnsi="仿宋" w:eastAsia="仿宋" w:cstheme="minorBidi"/>
          <w:color w:val="auto"/>
          <w:kern w:val="2"/>
          <w:sz w:val="24"/>
          <w:szCs w:val="28"/>
          <w:highlight w:val="none"/>
          <w:lang w:val="en-US" w:eastAsia="zh-CN" w:bidi="ar-SA"/>
        </w:rPr>
        <w:t>。</w:t>
      </w:r>
    </w:p>
    <w:p w14:paraId="0BAB8C65">
      <w:pPr>
        <w:keepNext w:val="0"/>
        <w:keepLines w:val="0"/>
        <w:pageBreakBefore w:val="0"/>
        <w:tabs>
          <w:tab w:val="left" w:pos="0"/>
        </w:tabs>
        <w:kinsoku/>
        <w:wordWrap/>
        <w:overflowPunct/>
        <w:topLinePunct w:val="0"/>
        <w:autoSpaceDE/>
        <w:autoSpaceDN/>
        <w:bidi w:val="0"/>
        <w:spacing w:line="520" w:lineRule="exact"/>
        <w:ind w:firstLine="480" w:firstLineChars="200"/>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（二）服务地点：宜宾市南溪区南溪街道社区卫生服务中心。</w:t>
      </w:r>
    </w:p>
    <w:p w14:paraId="0B373DAD">
      <w:pPr>
        <w:keepNext w:val="0"/>
        <w:keepLines w:val="0"/>
        <w:pageBreakBefore w:val="0"/>
        <w:tabs>
          <w:tab w:val="left" w:pos="0"/>
        </w:tabs>
        <w:kinsoku/>
        <w:wordWrap/>
        <w:overflowPunct/>
        <w:topLinePunct w:val="0"/>
        <w:autoSpaceDE/>
        <w:autoSpaceDN/>
        <w:bidi w:val="0"/>
        <w:spacing w:line="520" w:lineRule="exact"/>
        <w:ind w:firstLine="480" w:firstLineChars="200"/>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（三）支付方式：一次性付款。</w:t>
      </w:r>
    </w:p>
    <w:p w14:paraId="10572208">
      <w:pPr>
        <w:keepNext w:val="0"/>
        <w:keepLines w:val="0"/>
        <w:pageBreakBefore w:val="0"/>
        <w:tabs>
          <w:tab w:val="left" w:pos="0"/>
        </w:tabs>
        <w:kinsoku/>
        <w:wordWrap/>
        <w:overflowPunct/>
        <w:topLinePunct w:val="0"/>
        <w:autoSpaceDE/>
        <w:autoSpaceDN/>
        <w:bidi w:val="0"/>
        <w:spacing w:line="520" w:lineRule="exact"/>
        <w:ind w:firstLine="480" w:firstLineChars="200"/>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（四）付款进度安排：全款，合同签订后，达到付款条件起10个工作日内，支付合同总金额的100.0%，并向甲方提供发票，开具保单。(成交供应商须向采购人出具合法有效完整的增值税发票及凭证资料)。</w:t>
      </w:r>
    </w:p>
    <w:p w14:paraId="5B4FE927">
      <w:pPr>
        <w:keepNext w:val="0"/>
        <w:keepLines w:val="0"/>
        <w:pageBreakBefore w:val="0"/>
        <w:tabs>
          <w:tab w:val="left" w:pos="0"/>
        </w:tabs>
        <w:kinsoku/>
        <w:wordWrap/>
        <w:overflowPunct/>
        <w:topLinePunct w:val="0"/>
        <w:autoSpaceDE/>
        <w:autoSpaceDN/>
        <w:bidi w:val="0"/>
        <w:spacing w:line="520" w:lineRule="exact"/>
        <w:ind w:firstLine="480" w:firstLineChars="200"/>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（五）验收、交付标准和方法</w:t>
      </w:r>
    </w:p>
    <w:p w14:paraId="768593E0">
      <w:pPr>
        <w:keepNext w:val="0"/>
        <w:keepLines w:val="0"/>
        <w:pageBreakBefore w:val="0"/>
        <w:tabs>
          <w:tab w:val="left" w:pos="0"/>
        </w:tabs>
        <w:kinsoku/>
        <w:wordWrap/>
        <w:overflowPunct/>
        <w:topLinePunct w:val="0"/>
        <w:autoSpaceDE/>
        <w:autoSpaceDN/>
        <w:bidi w:val="0"/>
        <w:spacing w:line="520" w:lineRule="exact"/>
        <w:ind w:firstLine="480" w:firstLineChars="200"/>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1.采购人和相关部门按照国家规定组织专家组进行验收，没有国家标准的按行业标准验收，无行业标准的按地方或企业标准验收，成交供应商予以配合。同时验收时将严格对照本项目谈判文件及成交供应商的响应文件进行验收，若发现有一项与本项目谈判文件或成交供应商响应文件有冲突的地方，采购人将不予验收，并不予支付采购资金，并且由此引发的一切损失由成交供应商承担。</w:t>
      </w:r>
    </w:p>
    <w:p w14:paraId="7AA5A484">
      <w:pPr>
        <w:keepNext w:val="0"/>
        <w:keepLines w:val="0"/>
        <w:pageBreakBefore w:val="0"/>
        <w:tabs>
          <w:tab w:val="left" w:pos="0"/>
        </w:tabs>
        <w:kinsoku/>
        <w:wordWrap/>
        <w:overflowPunct/>
        <w:topLinePunct w:val="0"/>
        <w:autoSpaceDE/>
        <w:autoSpaceDN/>
        <w:bidi w:val="0"/>
        <w:spacing w:line="520" w:lineRule="exact"/>
        <w:ind w:firstLine="480" w:firstLineChars="200"/>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2.完成参保服务后，供应商验收申请之日起30日内，组织对采购项目进行验收。</w:t>
      </w:r>
    </w:p>
    <w:p w14:paraId="2FD76E91">
      <w:pPr>
        <w:keepNext w:val="0"/>
        <w:keepLines w:val="0"/>
        <w:pageBreakBefore w:val="0"/>
        <w:tabs>
          <w:tab w:val="left" w:pos="0"/>
        </w:tabs>
        <w:kinsoku/>
        <w:wordWrap/>
        <w:overflowPunct/>
        <w:topLinePunct w:val="0"/>
        <w:autoSpaceDE/>
        <w:autoSpaceDN/>
        <w:bidi w:val="0"/>
        <w:spacing w:line="520" w:lineRule="exact"/>
        <w:ind w:firstLine="480" w:firstLineChars="200"/>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3.其他未尽事宜应严格按照《财政部关于进一步加强政府采购需求和履约验收管理的指导意见》(财库〔2016〕205号)的要求进行验收。</w:t>
      </w:r>
    </w:p>
    <w:p w14:paraId="1220B1CC">
      <w:pPr>
        <w:keepNext w:val="0"/>
        <w:keepLines w:val="0"/>
        <w:pageBreakBefore w:val="0"/>
        <w:tabs>
          <w:tab w:val="left" w:pos="0"/>
        </w:tabs>
        <w:kinsoku/>
        <w:wordWrap/>
        <w:overflowPunct/>
        <w:topLinePunct w:val="0"/>
        <w:autoSpaceDE/>
        <w:autoSpaceDN/>
        <w:bidi w:val="0"/>
        <w:spacing w:line="520" w:lineRule="exact"/>
        <w:ind w:firstLine="480" w:firstLineChars="200"/>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4.验收结果合格的，采购人向成交供应商支付剩余采购资金；验收结果不合格的，也将不予支付采购资金。</w:t>
      </w:r>
    </w:p>
    <w:p w14:paraId="0828EBB7">
      <w:pPr>
        <w:keepNext w:val="0"/>
        <w:keepLines w:val="0"/>
        <w:pageBreakBefore w:val="0"/>
        <w:tabs>
          <w:tab w:val="left" w:pos="0"/>
        </w:tabs>
        <w:kinsoku/>
        <w:wordWrap/>
        <w:overflowPunct/>
        <w:topLinePunct w:val="0"/>
        <w:autoSpaceDE/>
        <w:autoSpaceDN/>
        <w:bidi w:val="0"/>
        <w:spacing w:line="520" w:lineRule="exact"/>
        <w:ind w:firstLine="480" w:firstLineChars="200"/>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（六）违约责任与解决争议的方法</w:t>
      </w:r>
    </w:p>
    <w:p w14:paraId="17C2A0A6">
      <w:pPr>
        <w:keepNext w:val="0"/>
        <w:keepLines w:val="0"/>
        <w:pageBreakBefore w:val="0"/>
        <w:tabs>
          <w:tab w:val="left" w:pos="0"/>
        </w:tabs>
        <w:kinsoku/>
        <w:wordWrap/>
        <w:overflowPunct/>
        <w:topLinePunct w:val="0"/>
        <w:autoSpaceDE/>
        <w:autoSpaceDN/>
        <w:bidi w:val="0"/>
        <w:spacing w:line="520" w:lineRule="exact"/>
        <w:ind w:firstLine="480" w:firstLineChars="200"/>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1.甲乙双方必须遵守本合同并执行合同中的各项规定，保证本合同的正常履行。</w:t>
      </w:r>
    </w:p>
    <w:p w14:paraId="686BD531">
      <w:pPr>
        <w:keepNext w:val="0"/>
        <w:keepLines w:val="0"/>
        <w:pageBreakBefore w:val="0"/>
        <w:tabs>
          <w:tab w:val="left" w:pos="0"/>
        </w:tabs>
        <w:kinsoku/>
        <w:wordWrap/>
        <w:overflowPunct/>
        <w:topLinePunct w:val="0"/>
        <w:autoSpaceDE/>
        <w:autoSpaceDN/>
        <w:bidi w:val="0"/>
        <w:spacing w:line="520" w:lineRule="exact"/>
        <w:ind w:firstLine="480" w:firstLineChars="200"/>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2.采购人逾期支付货款的，除应及时付足货款外，应向成交供应商偿付欠款总额万分之一/天的违约金；逾期付款超过90天的，成交供应商有权终止合同。</w:t>
      </w:r>
    </w:p>
    <w:p w14:paraId="52B9F77B">
      <w:pPr>
        <w:keepNext w:val="0"/>
        <w:keepLines w:val="0"/>
        <w:pageBreakBefore w:val="0"/>
        <w:tabs>
          <w:tab w:val="left" w:pos="0"/>
        </w:tabs>
        <w:kinsoku/>
        <w:wordWrap/>
        <w:overflowPunct/>
        <w:topLinePunct w:val="0"/>
        <w:autoSpaceDE/>
        <w:autoSpaceDN/>
        <w:bidi w:val="0"/>
        <w:spacing w:line="520" w:lineRule="exact"/>
        <w:ind w:firstLine="480" w:firstLineChars="200"/>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 xml:space="preserve">3.如因乙方工作人员在履行职务过程中的疏忽、失职、过错等故意或者过失原因给甲方造成损失或侵害，包括但不限于甲方本身的财产损失、由此而导致的甲方对任何第三方的法律责任等，乙方对此均应承担全部的赔偿责任 </w:t>
      </w:r>
    </w:p>
    <w:p w14:paraId="5CBE4EA4">
      <w:pPr>
        <w:keepNext w:val="0"/>
        <w:keepLines w:val="0"/>
        <w:pageBreakBefore w:val="0"/>
        <w:tabs>
          <w:tab w:val="left" w:pos="0"/>
        </w:tabs>
        <w:kinsoku/>
        <w:wordWrap/>
        <w:overflowPunct/>
        <w:topLinePunct w:val="0"/>
        <w:autoSpaceDE/>
        <w:autoSpaceDN/>
        <w:bidi w:val="0"/>
        <w:spacing w:line="520" w:lineRule="exact"/>
        <w:ind w:firstLine="480" w:firstLineChars="200"/>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4.若乙方违约未能按照约定提供服务，甲方有权终止协议。造成甲方不良社会影响或经济损失，则甲方有权追究乙方责任，要求其消除影响、并做相应的经济赔偿，若损失无法进行具体测算，乙方向采购人支付合同总金额10%的违约金。</w:t>
      </w:r>
    </w:p>
    <w:p w14:paraId="44818A3E">
      <w:pPr>
        <w:keepNext w:val="0"/>
        <w:keepLines w:val="0"/>
        <w:pageBreakBefore w:val="0"/>
        <w:tabs>
          <w:tab w:val="left" w:pos="0"/>
        </w:tabs>
        <w:kinsoku/>
        <w:wordWrap/>
        <w:overflowPunct/>
        <w:topLinePunct w:val="0"/>
        <w:autoSpaceDE/>
        <w:autoSpaceDN/>
        <w:bidi w:val="0"/>
        <w:spacing w:line="520" w:lineRule="exact"/>
        <w:ind w:firstLine="480" w:firstLineChars="200"/>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 xml:space="preserve">5.因乙方违约未能按照约定提供服务导致合同解除的，乙方应全额退还甲方已支付的保险费用，乙方已按约定支付的赔款由乙方自行承担，甲方不必退还。 </w:t>
      </w:r>
    </w:p>
    <w:p w14:paraId="3D8C35D6">
      <w:pPr>
        <w:keepNext w:val="0"/>
        <w:keepLines w:val="0"/>
        <w:pageBreakBefore w:val="0"/>
        <w:tabs>
          <w:tab w:val="left" w:pos="0"/>
        </w:tabs>
        <w:kinsoku/>
        <w:wordWrap/>
        <w:overflowPunct/>
        <w:topLinePunct w:val="0"/>
        <w:autoSpaceDE/>
        <w:autoSpaceDN/>
        <w:bidi w:val="0"/>
        <w:spacing w:line="520" w:lineRule="exact"/>
        <w:ind w:firstLine="480" w:firstLineChars="200"/>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6.解决争议的方法：合同履行期间，若双方发生争议，可协商或由有关部门调解解决，协商或调解不成的，由当事人依法维护其合法权益，并由采购人所在地人民法院管辖。</w:t>
      </w:r>
    </w:p>
    <w:p w14:paraId="35FF1830">
      <w:pPr>
        <w:keepNext w:val="0"/>
        <w:keepLines w:val="0"/>
        <w:pageBreakBefore w:val="0"/>
        <w:tabs>
          <w:tab w:val="left" w:pos="0"/>
        </w:tabs>
        <w:kinsoku/>
        <w:wordWrap/>
        <w:overflowPunct/>
        <w:topLinePunct w:val="0"/>
        <w:autoSpaceDE/>
        <w:autoSpaceDN/>
        <w:bidi w:val="0"/>
        <w:spacing w:line="520" w:lineRule="exact"/>
        <w:ind w:firstLine="480" w:firstLineChars="200"/>
        <w:textAlignment w:val="auto"/>
        <w:rPr>
          <w:rFonts w:hint="default"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五、其他要求</w:t>
      </w:r>
    </w:p>
    <w:p w14:paraId="4CE0C05B">
      <w:pPr>
        <w:keepNext w:val="0"/>
        <w:keepLines w:val="0"/>
        <w:pageBreakBefore w:val="0"/>
        <w:tabs>
          <w:tab w:val="left" w:pos="0"/>
        </w:tabs>
        <w:kinsoku/>
        <w:wordWrap/>
        <w:overflowPunct/>
        <w:topLinePunct w:val="0"/>
        <w:autoSpaceDE/>
        <w:autoSpaceDN/>
        <w:bidi w:val="0"/>
        <w:spacing w:line="520" w:lineRule="exact"/>
        <w:ind w:firstLine="480" w:firstLineChars="200"/>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（一）履约保证金：本项目不收取。</w:t>
      </w:r>
    </w:p>
    <w:p w14:paraId="7247AFC4">
      <w:pPr>
        <w:keepNext w:val="0"/>
        <w:keepLines w:val="0"/>
        <w:pageBreakBefore w:val="0"/>
        <w:tabs>
          <w:tab w:val="left" w:pos="0"/>
        </w:tabs>
        <w:kinsoku/>
        <w:wordWrap/>
        <w:overflowPunct/>
        <w:topLinePunct w:val="0"/>
        <w:autoSpaceDE/>
        <w:autoSpaceDN/>
        <w:bidi w:val="0"/>
        <w:spacing w:line="520" w:lineRule="exact"/>
        <w:ind w:firstLine="480" w:firstLineChars="200"/>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（二）风险处置措施和替代方案</w:t>
      </w:r>
    </w:p>
    <w:p w14:paraId="287A321B">
      <w:pPr>
        <w:keepNext w:val="0"/>
        <w:keepLines w:val="0"/>
        <w:pageBreakBefore w:val="0"/>
        <w:tabs>
          <w:tab w:val="left" w:pos="0"/>
        </w:tabs>
        <w:kinsoku/>
        <w:wordWrap/>
        <w:overflowPunct/>
        <w:topLinePunct w:val="0"/>
        <w:autoSpaceDE/>
        <w:autoSpaceDN/>
        <w:bidi w:val="0"/>
        <w:spacing w:line="520" w:lineRule="exact"/>
        <w:ind w:firstLine="480" w:firstLineChars="200"/>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本项目采购过程和合同履行过程中的风险严格按照采购人的风险控制管理要求执行除不可抗力以外（如：国家政策变化导致资金预算调整，或继续履约有可能影响国家利益等），本项目严格按照合同执行，如有违约，按合同违约条款处理；本项目无替代方案。</w:t>
      </w:r>
    </w:p>
    <w:p w14:paraId="436294E7">
      <w:pPr>
        <w:keepNext w:val="0"/>
        <w:keepLines w:val="0"/>
        <w:pageBreakBefore w:val="0"/>
        <w:tabs>
          <w:tab w:val="left" w:pos="0"/>
        </w:tabs>
        <w:kinsoku/>
        <w:wordWrap/>
        <w:overflowPunct/>
        <w:topLinePunct w:val="0"/>
        <w:autoSpaceDE/>
        <w:autoSpaceDN/>
        <w:bidi w:val="0"/>
        <w:spacing w:line="520" w:lineRule="exact"/>
        <w:ind w:firstLine="480" w:firstLineChars="200"/>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（三）知识产权</w:t>
      </w:r>
    </w:p>
    <w:p w14:paraId="4FDBCCD0">
      <w:pPr>
        <w:keepNext w:val="0"/>
        <w:keepLines w:val="0"/>
        <w:pageBreakBefore w:val="0"/>
        <w:tabs>
          <w:tab w:val="left" w:pos="0"/>
        </w:tabs>
        <w:kinsoku/>
        <w:wordWrap/>
        <w:overflowPunct/>
        <w:topLinePunct w:val="0"/>
        <w:autoSpaceDE/>
        <w:autoSpaceDN/>
        <w:bidi w:val="0"/>
        <w:spacing w:line="520" w:lineRule="exact"/>
        <w:ind w:firstLine="480" w:firstLineChars="200"/>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1.供应商应保证在本项目中使用的任何技术、产品和服务（包括部分使用），不会产生因第三方提出侵犯其专利权、商标权或其他知识产权而引起的法律和经济纠纷，如存在前述情形，由供应商承担所有相关责任，并且赔偿由此给采购人带来的损失。采购人享有本项目实施过程中产生的知识成果及知识产权。</w:t>
      </w:r>
    </w:p>
    <w:p w14:paraId="15D90BC3">
      <w:pPr>
        <w:keepNext w:val="0"/>
        <w:keepLines w:val="0"/>
        <w:pageBreakBefore w:val="0"/>
        <w:tabs>
          <w:tab w:val="left" w:pos="0"/>
        </w:tabs>
        <w:kinsoku/>
        <w:wordWrap/>
        <w:overflowPunct/>
        <w:topLinePunct w:val="0"/>
        <w:autoSpaceDE/>
        <w:autoSpaceDN/>
        <w:bidi w:val="0"/>
        <w:spacing w:line="520" w:lineRule="exact"/>
        <w:ind w:firstLine="480" w:firstLineChars="200"/>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2.供应商将在采购项目实施过程中采用自有或者第三方知识成果的，使用该知识成果后，供应商需提供开发接口和开发手册等技术资料，并承诺提供无限期支持，采购人享有使用权（含采购人委托第三方在该项目后续开发的使用权）。</w:t>
      </w:r>
    </w:p>
    <w:p w14:paraId="157CCF17">
      <w:pPr>
        <w:keepNext w:val="0"/>
        <w:keepLines w:val="0"/>
        <w:pageBreakBefore w:val="0"/>
        <w:tabs>
          <w:tab w:val="left" w:pos="0"/>
        </w:tabs>
        <w:kinsoku/>
        <w:wordWrap/>
        <w:overflowPunct/>
        <w:topLinePunct w:val="0"/>
        <w:autoSpaceDE/>
        <w:autoSpaceDN/>
        <w:bidi w:val="0"/>
        <w:spacing w:line="520" w:lineRule="exact"/>
        <w:ind w:firstLine="480" w:firstLineChars="200"/>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3.如使用供应商所不拥有的知识产权，则在报价中必须包括合法使用该知识产权的相关费用。</w:t>
      </w:r>
    </w:p>
    <w:p w14:paraId="0896CDCB">
      <w:pPr>
        <w:keepNext w:val="0"/>
        <w:keepLines w:val="0"/>
        <w:pageBreakBefore w:val="0"/>
        <w:tabs>
          <w:tab w:val="left" w:pos="0"/>
        </w:tabs>
        <w:kinsoku/>
        <w:wordWrap/>
        <w:overflowPunct/>
        <w:topLinePunct w:val="0"/>
        <w:autoSpaceDE/>
        <w:autoSpaceDN/>
        <w:bidi w:val="0"/>
        <w:spacing w:line="520" w:lineRule="exact"/>
        <w:ind w:firstLine="482" w:firstLineChars="200"/>
        <w:textAlignment w:val="auto"/>
        <w:rPr>
          <w:rFonts w:hint="eastAsia" w:ascii="仿宋" w:hAnsi="仿宋" w:eastAsia="仿宋" w:cstheme="minorBidi"/>
          <w:b/>
          <w:bCs/>
          <w:color w:val="auto"/>
          <w:kern w:val="2"/>
          <w:sz w:val="24"/>
          <w:szCs w:val="28"/>
          <w:highlight w:val="none"/>
          <w:lang w:val="en-US" w:eastAsia="zh-CN" w:bidi="ar-SA"/>
        </w:rPr>
      </w:pPr>
      <w:r>
        <w:rPr>
          <w:rFonts w:hint="eastAsia" w:ascii="仿宋" w:hAnsi="仿宋" w:eastAsia="仿宋" w:cstheme="minorBidi"/>
          <w:b/>
          <w:bCs/>
          <w:color w:val="auto"/>
          <w:kern w:val="2"/>
          <w:sz w:val="24"/>
          <w:szCs w:val="28"/>
          <w:highlight w:val="none"/>
          <w:lang w:val="en-US" w:eastAsia="zh-CN" w:bidi="ar-SA"/>
        </w:rPr>
        <w:t>六、供应商资格条件</w:t>
      </w:r>
    </w:p>
    <w:p w14:paraId="0FF00FAE">
      <w:pPr>
        <w:keepNext w:val="0"/>
        <w:keepLines w:val="0"/>
        <w:pageBreakBefore w:val="0"/>
        <w:tabs>
          <w:tab w:val="left" w:pos="0"/>
        </w:tabs>
        <w:kinsoku/>
        <w:wordWrap/>
        <w:overflowPunct/>
        <w:topLinePunct w:val="0"/>
        <w:autoSpaceDE/>
        <w:autoSpaceDN/>
        <w:bidi w:val="0"/>
        <w:spacing w:line="520" w:lineRule="exact"/>
        <w:ind w:firstLine="480" w:firstLineChars="200"/>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（一）具备《中华人民共和国政府采购法》第二十二条的相关规定：</w:t>
      </w:r>
    </w:p>
    <w:p w14:paraId="7FAFC9C3">
      <w:pPr>
        <w:keepNext w:val="0"/>
        <w:keepLines w:val="0"/>
        <w:pageBreakBefore w:val="0"/>
        <w:tabs>
          <w:tab w:val="left" w:pos="0"/>
        </w:tabs>
        <w:kinsoku/>
        <w:wordWrap/>
        <w:overflowPunct/>
        <w:topLinePunct w:val="0"/>
        <w:autoSpaceDE/>
        <w:autoSpaceDN/>
        <w:bidi w:val="0"/>
        <w:spacing w:line="520" w:lineRule="exact"/>
        <w:ind w:firstLine="480" w:firstLineChars="200"/>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1.具有独立承担民事责任的能力；</w:t>
      </w:r>
    </w:p>
    <w:p w14:paraId="0CB489E9">
      <w:pPr>
        <w:keepNext w:val="0"/>
        <w:keepLines w:val="0"/>
        <w:pageBreakBefore w:val="0"/>
        <w:tabs>
          <w:tab w:val="left" w:pos="0"/>
        </w:tabs>
        <w:kinsoku/>
        <w:wordWrap/>
        <w:overflowPunct/>
        <w:topLinePunct w:val="0"/>
        <w:autoSpaceDE/>
        <w:autoSpaceDN/>
        <w:bidi w:val="0"/>
        <w:spacing w:line="520" w:lineRule="exact"/>
        <w:ind w:firstLine="480" w:firstLineChars="200"/>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2.具有良好的商业信誉和健全的财务会计制度；</w:t>
      </w:r>
    </w:p>
    <w:p w14:paraId="0775EBA8">
      <w:pPr>
        <w:keepNext w:val="0"/>
        <w:keepLines w:val="0"/>
        <w:pageBreakBefore w:val="0"/>
        <w:tabs>
          <w:tab w:val="left" w:pos="0"/>
        </w:tabs>
        <w:kinsoku/>
        <w:wordWrap/>
        <w:overflowPunct/>
        <w:topLinePunct w:val="0"/>
        <w:autoSpaceDE/>
        <w:autoSpaceDN/>
        <w:bidi w:val="0"/>
        <w:spacing w:line="520" w:lineRule="exact"/>
        <w:ind w:firstLine="480" w:firstLineChars="200"/>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3.具有履行合同所必需的设备和专业技术能力；</w:t>
      </w:r>
    </w:p>
    <w:p w14:paraId="5AAC1A92">
      <w:pPr>
        <w:keepNext w:val="0"/>
        <w:keepLines w:val="0"/>
        <w:pageBreakBefore w:val="0"/>
        <w:tabs>
          <w:tab w:val="left" w:pos="0"/>
        </w:tabs>
        <w:kinsoku/>
        <w:wordWrap/>
        <w:overflowPunct/>
        <w:topLinePunct w:val="0"/>
        <w:autoSpaceDE/>
        <w:autoSpaceDN/>
        <w:bidi w:val="0"/>
        <w:spacing w:line="520" w:lineRule="exact"/>
        <w:ind w:firstLine="480" w:firstLineChars="200"/>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4.有依法缴纳税收和社会保障资金的良好记录；</w:t>
      </w:r>
    </w:p>
    <w:p w14:paraId="7B34CAFF">
      <w:pPr>
        <w:keepNext w:val="0"/>
        <w:keepLines w:val="0"/>
        <w:pageBreakBefore w:val="0"/>
        <w:tabs>
          <w:tab w:val="left" w:pos="0"/>
        </w:tabs>
        <w:kinsoku/>
        <w:wordWrap/>
        <w:overflowPunct/>
        <w:topLinePunct w:val="0"/>
        <w:autoSpaceDE/>
        <w:autoSpaceDN/>
        <w:bidi w:val="0"/>
        <w:spacing w:line="520" w:lineRule="exact"/>
        <w:ind w:firstLine="480" w:firstLineChars="200"/>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5.参加政府采购活动前三年内，在经营活动中没有重大违法记录；</w:t>
      </w:r>
    </w:p>
    <w:p w14:paraId="01C4E277">
      <w:pPr>
        <w:keepNext w:val="0"/>
        <w:keepLines w:val="0"/>
        <w:pageBreakBefore w:val="0"/>
        <w:tabs>
          <w:tab w:val="left" w:pos="0"/>
        </w:tabs>
        <w:kinsoku/>
        <w:wordWrap/>
        <w:overflowPunct/>
        <w:topLinePunct w:val="0"/>
        <w:autoSpaceDE/>
        <w:autoSpaceDN/>
        <w:bidi w:val="0"/>
        <w:spacing w:line="520" w:lineRule="exact"/>
        <w:ind w:firstLine="480" w:firstLineChars="200"/>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6.法律、行政法规规定的其他条件。</w:t>
      </w:r>
    </w:p>
    <w:p w14:paraId="051DB5A8">
      <w:pPr>
        <w:keepNext w:val="0"/>
        <w:keepLines w:val="0"/>
        <w:pageBreakBefore w:val="0"/>
        <w:tabs>
          <w:tab w:val="left" w:pos="0"/>
        </w:tabs>
        <w:kinsoku/>
        <w:wordWrap/>
        <w:overflowPunct/>
        <w:topLinePunct w:val="0"/>
        <w:autoSpaceDE/>
        <w:autoSpaceDN/>
        <w:bidi w:val="0"/>
        <w:spacing w:line="520" w:lineRule="exact"/>
        <w:ind w:firstLine="480" w:firstLineChars="200"/>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（二）其他类似效力要求</w:t>
      </w:r>
    </w:p>
    <w:p w14:paraId="3B93EE3B">
      <w:pPr>
        <w:keepNext w:val="0"/>
        <w:keepLines w:val="0"/>
        <w:pageBreakBefore w:val="0"/>
        <w:tabs>
          <w:tab w:val="left" w:pos="0"/>
        </w:tabs>
        <w:kinsoku/>
        <w:wordWrap/>
        <w:overflowPunct/>
        <w:topLinePunct w:val="0"/>
        <w:autoSpaceDE/>
        <w:autoSpaceDN/>
        <w:bidi w:val="0"/>
        <w:spacing w:line="520" w:lineRule="exact"/>
        <w:ind w:firstLine="480" w:firstLineChars="200"/>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1.供应商与其他供应商之间，单位负责人不为同一人而且不存在直接控股、管理关系。</w:t>
      </w:r>
    </w:p>
    <w:p w14:paraId="5614979F">
      <w:pPr>
        <w:keepNext w:val="0"/>
        <w:keepLines w:val="0"/>
        <w:pageBreakBefore w:val="0"/>
        <w:tabs>
          <w:tab w:val="left" w:pos="0"/>
        </w:tabs>
        <w:kinsoku/>
        <w:wordWrap/>
        <w:overflowPunct/>
        <w:topLinePunct w:val="0"/>
        <w:autoSpaceDE/>
        <w:autoSpaceDN/>
        <w:bidi w:val="0"/>
        <w:spacing w:line="520" w:lineRule="exact"/>
        <w:ind w:firstLine="480" w:firstLineChars="200"/>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2.本项目不接受联合体响应。</w:t>
      </w:r>
    </w:p>
    <w:p w14:paraId="3F68F8E0">
      <w:pPr>
        <w:keepNext w:val="0"/>
        <w:keepLines w:val="0"/>
        <w:pageBreakBefore w:val="0"/>
        <w:tabs>
          <w:tab w:val="left" w:pos="0"/>
        </w:tabs>
        <w:kinsoku/>
        <w:wordWrap/>
        <w:overflowPunct/>
        <w:topLinePunct w:val="0"/>
        <w:autoSpaceDE/>
        <w:autoSpaceDN/>
        <w:bidi w:val="0"/>
        <w:spacing w:line="520" w:lineRule="exact"/>
        <w:ind w:firstLine="480" w:firstLineChars="200"/>
        <w:textAlignment w:val="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（三）根据采购项目提出的特殊条件：无</w:t>
      </w:r>
    </w:p>
    <w:p w14:paraId="03DD9843">
      <w:pPr>
        <w:keepNext w:val="0"/>
        <w:keepLines w:val="0"/>
        <w:pageBreakBefore w:val="0"/>
        <w:tabs>
          <w:tab w:val="left" w:pos="0"/>
        </w:tabs>
        <w:kinsoku/>
        <w:wordWrap/>
        <w:overflowPunct/>
        <w:topLinePunct w:val="0"/>
        <w:autoSpaceDE/>
        <w:autoSpaceDN/>
        <w:bidi w:val="0"/>
        <w:spacing w:line="520" w:lineRule="exact"/>
        <w:ind w:firstLine="482" w:firstLineChars="200"/>
        <w:textAlignment w:val="auto"/>
        <w:rPr>
          <w:rFonts w:hint="eastAsia" w:ascii="仿宋" w:hAnsi="仿宋" w:eastAsia="仿宋" w:cstheme="minorBidi"/>
          <w:b/>
          <w:bCs/>
          <w:color w:val="auto"/>
          <w:kern w:val="2"/>
          <w:sz w:val="24"/>
          <w:szCs w:val="28"/>
          <w:highlight w:val="none"/>
          <w:lang w:val="en-US" w:eastAsia="zh-CN" w:bidi="ar-SA"/>
        </w:rPr>
      </w:pPr>
      <w:r>
        <w:rPr>
          <w:rFonts w:hint="eastAsia" w:ascii="仿宋" w:hAnsi="仿宋" w:eastAsia="仿宋" w:cstheme="minorBidi"/>
          <w:b/>
          <w:bCs/>
          <w:color w:val="auto"/>
          <w:kern w:val="2"/>
          <w:sz w:val="24"/>
          <w:szCs w:val="28"/>
          <w:highlight w:val="none"/>
          <w:lang w:val="en-US" w:eastAsia="zh-CN" w:bidi="ar-SA"/>
        </w:rPr>
        <w:t>七、综合评分明细表</w:t>
      </w:r>
    </w:p>
    <w:tbl>
      <w:tblPr>
        <w:tblStyle w:val="6"/>
        <w:tblW w:w="860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62"/>
        <w:gridCol w:w="1080"/>
        <w:gridCol w:w="4789"/>
        <w:gridCol w:w="765"/>
        <w:gridCol w:w="1005"/>
      </w:tblGrid>
      <w:tr w14:paraId="04D181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B1167B">
            <w:pPr>
              <w:keepNext w:val="0"/>
              <w:keepLines w:val="0"/>
              <w:widowControl/>
              <w:suppressLineNumbers w:val="0"/>
              <w:tabs>
                <w:tab w:val="left" w:pos="0"/>
              </w:tabs>
              <w:jc w:val="center"/>
              <w:rPr>
                <w:rFonts w:hint="eastAsia" w:ascii="仿宋" w:hAnsi="仿宋" w:eastAsia="仿宋" w:cs="仿宋"/>
                <w:i w:val="0"/>
                <w:iCs w:val="0"/>
                <w:color w:val="333333"/>
                <w:sz w:val="24"/>
                <w:szCs w:val="24"/>
                <w:u w:val="none"/>
              </w:rPr>
            </w:pPr>
            <w:r>
              <w:rPr>
                <w:rFonts w:hint="eastAsia" w:ascii="仿宋" w:hAnsi="仿宋" w:eastAsia="仿宋" w:cs="仿宋"/>
                <w:i w:val="0"/>
                <w:iCs w:val="0"/>
                <w:color w:val="333333"/>
                <w:kern w:val="0"/>
                <w:sz w:val="24"/>
                <w:szCs w:val="24"/>
                <w:u w:val="none"/>
                <w:lang w:val="en-US" w:eastAsia="zh-CN" w:bidi="ar"/>
              </w:rPr>
              <w:t>评审项编号</w:t>
            </w: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3C31D9">
            <w:pPr>
              <w:keepNext w:val="0"/>
              <w:keepLines w:val="0"/>
              <w:widowControl/>
              <w:suppressLineNumbers w:val="0"/>
              <w:tabs>
                <w:tab w:val="left" w:pos="0"/>
              </w:tabs>
              <w:jc w:val="center"/>
              <w:rPr>
                <w:rFonts w:hint="eastAsia" w:ascii="仿宋" w:hAnsi="仿宋" w:eastAsia="仿宋" w:cs="仿宋"/>
                <w:i w:val="0"/>
                <w:iCs w:val="0"/>
                <w:color w:val="333333"/>
                <w:sz w:val="24"/>
                <w:szCs w:val="24"/>
                <w:u w:val="none"/>
              </w:rPr>
            </w:pPr>
            <w:r>
              <w:rPr>
                <w:rFonts w:hint="eastAsia" w:ascii="仿宋" w:hAnsi="仿宋" w:eastAsia="仿宋" w:cs="仿宋"/>
                <w:i w:val="0"/>
                <w:iCs w:val="0"/>
                <w:color w:val="333333"/>
                <w:kern w:val="0"/>
                <w:sz w:val="24"/>
                <w:szCs w:val="24"/>
                <w:u w:val="none"/>
                <w:lang w:val="en-US" w:eastAsia="zh-CN" w:bidi="ar"/>
              </w:rPr>
              <w:t>评审项</w:t>
            </w:r>
          </w:p>
        </w:tc>
        <w:tc>
          <w:tcPr>
            <w:tcW w:w="478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A0242E">
            <w:pPr>
              <w:keepNext w:val="0"/>
              <w:keepLines w:val="0"/>
              <w:widowControl/>
              <w:suppressLineNumbers w:val="0"/>
              <w:tabs>
                <w:tab w:val="left" w:pos="0"/>
              </w:tabs>
              <w:jc w:val="center"/>
              <w:rPr>
                <w:rFonts w:hint="eastAsia" w:ascii="仿宋" w:hAnsi="仿宋" w:eastAsia="仿宋" w:cs="仿宋"/>
                <w:i w:val="0"/>
                <w:iCs w:val="0"/>
                <w:color w:val="333333"/>
                <w:sz w:val="24"/>
                <w:szCs w:val="24"/>
                <w:u w:val="none"/>
              </w:rPr>
            </w:pPr>
            <w:r>
              <w:rPr>
                <w:rFonts w:hint="eastAsia" w:ascii="仿宋" w:hAnsi="仿宋" w:eastAsia="仿宋" w:cs="仿宋"/>
                <w:i w:val="0"/>
                <w:iCs w:val="0"/>
                <w:color w:val="333333"/>
                <w:kern w:val="0"/>
                <w:sz w:val="24"/>
                <w:szCs w:val="24"/>
                <w:u w:val="none"/>
                <w:lang w:val="en-US" w:eastAsia="zh-CN" w:bidi="ar"/>
              </w:rPr>
              <w:t>详细要求</w:t>
            </w:r>
          </w:p>
        </w:tc>
        <w:tc>
          <w:tcPr>
            <w:tcW w:w="7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4EA39E">
            <w:pPr>
              <w:keepNext w:val="0"/>
              <w:keepLines w:val="0"/>
              <w:widowControl/>
              <w:suppressLineNumbers w:val="0"/>
              <w:tabs>
                <w:tab w:val="left" w:pos="0"/>
              </w:tabs>
              <w:jc w:val="center"/>
              <w:rPr>
                <w:rFonts w:hint="eastAsia" w:ascii="仿宋" w:hAnsi="仿宋" w:eastAsia="仿宋" w:cs="仿宋"/>
                <w:i w:val="0"/>
                <w:iCs w:val="0"/>
                <w:color w:val="333333"/>
                <w:sz w:val="24"/>
                <w:szCs w:val="24"/>
                <w:u w:val="none"/>
              </w:rPr>
            </w:pPr>
            <w:r>
              <w:rPr>
                <w:rFonts w:hint="eastAsia" w:ascii="仿宋" w:hAnsi="仿宋" w:eastAsia="仿宋" w:cs="仿宋"/>
                <w:i w:val="0"/>
                <w:iCs w:val="0"/>
                <w:color w:val="333333"/>
                <w:kern w:val="0"/>
                <w:sz w:val="24"/>
                <w:szCs w:val="24"/>
                <w:u w:val="none"/>
                <w:lang w:val="en-US" w:eastAsia="zh-CN" w:bidi="ar"/>
              </w:rPr>
              <w:t>分值</w:t>
            </w:r>
          </w:p>
        </w:tc>
        <w:tc>
          <w:tcPr>
            <w:tcW w:w="100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0D8337">
            <w:pPr>
              <w:keepNext w:val="0"/>
              <w:keepLines w:val="0"/>
              <w:widowControl/>
              <w:suppressLineNumbers w:val="0"/>
              <w:tabs>
                <w:tab w:val="left" w:pos="0"/>
              </w:tabs>
              <w:jc w:val="center"/>
              <w:rPr>
                <w:rFonts w:hint="eastAsia" w:ascii="仿宋" w:hAnsi="仿宋" w:eastAsia="仿宋" w:cs="仿宋"/>
                <w:i w:val="0"/>
                <w:iCs w:val="0"/>
                <w:color w:val="333333"/>
                <w:sz w:val="24"/>
                <w:szCs w:val="24"/>
                <w:u w:val="none"/>
              </w:rPr>
            </w:pPr>
            <w:r>
              <w:rPr>
                <w:rFonts w:hint="eastAsia" w:ascii="仿宋" w:hAnsi="仿宋" w:eastAsia="仿宋" w:cs="仿宋"/>
                <w:i w:val="0"/>
                <w:iCs w:val="0"/>
                <w:color w:val="333333"/>
                <w:kern w:val="0"/>
                <w:sz w:val="24"/>
                <w:szCs w:val="24"/>
                <w:u w:val="none"/>
                <w:lang w:val="en-US" w:eastAsia="zh-CN" w:bidi="ar"/>
              </w:rPr>
              <w:t>备注</w:t>
            </w:r>
          </w:p>
        </w:tc>
      </w:tr>
      <w:tr w14:paraId="5B5E7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62" w:type="dxa"/>
            <w:tcBorders>
              <w:top w:val="single" w:color="000000" w:sz="4" w:space="0"/>
              <w:left w:val="single" w:color="000000" w:sz="4" w:space="0"/>
              <w:bottom w:val="single" w:color="000000" w:sz="4" w:space="0"/>
              <w:right w:val="single" w:color="000000" w:sz="4" w:space="0"/>
            </w:tcBorders>
            <w:noWrap/>
            <w:vAlign w:val="center"/>
          </w:tcPr>
          <w:p w14:paraId="37E0AB37">
            <w:pPr>
              <w:tabs>
                <w:tab w:val="left" w:pos="0"/>
              </w:tabs>
              <w:jc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w:t>
            </w: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50A376EF">
            <w:pPr>
              <w:tabs>
                <w:tab w:val="left" w:pos="0"/>
              </w:tabs>
              <w:rPr>
                <w:rFonts w:hint="eastAsia" w:ascii="仿宋" w:hAnsi="仿宋" w:eastAsia="仿宋" w:cs="仿宋"/>
                <w:i w:val="0"/>
                <w:iCs w:val="0"/>
                <w:color w:val="000000"/>
                <w:sz w:val="24"/>
                <w:szCs w:val="24"/>
                <w:u w:val="none"/>
                <w:lang w:eastAsia="zh-CN"/>
              </w:rPr>
            </w:pPr>
            <w:r>
              <w:rPr>
                <w:rFonts w:hint="eastAsia" w:ascii="仿宋" w:hAnsi="仿宋" w:eastAsia="仿宋" w:cs="仿宋"/>
                <w:i w:val="0"/>
                <w:iCs w:val="0"/>
                <w:color w:val="000000"/>
                <w:sz w:val="24"/>
                <w:szCs w:val="24"/>
                <w:u w:val="none"/>
                <w:lang w:eastAsia="zh-CN"/>
              </w:rPr>
              <w:t>价格分</w:t>
            </w:r>
          </w:p>
        </w:tc>
        <w:tc>
          <w:tcPr>
            <w:tcW w:w="4789" w:type="dxa"/>
            <w:tcBorders>
              <w:top w:val="single" w:color="000000" w:sz="4" w:space="0"/>
              <w:left w:val="single" w:color="000000" w:sz="4" w:space="0"/>
              <w:bottom w:val="single" w:color="000000" w:sz="4" w:space="0"/>
              <w:right w:val="single" w:color="000000" w:sz="4" w:space="0"/>
            </w:tcBorders>
            <w:noWrap/>
            <w:vAlign w:val="center"/>
          </w:tcPr>
          <w:p w14:paraId="33F2B690">
            <w:pPr>
              <w:tabs>
                <w:tab w:val="left" w:pos="0"/>
              </w:tabs>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auto"/>
                <w:sz w:val="24"/>
                <w:szCs w:val="24"/>
                <w:highlight w:val="none"/>
                <w:u w:val="none"/>
                <w:lang w:val="en-US" w:eastAsia="zh-CN"/>
              </w:rPr>
              <w:t>经评审有效报价的最低价作为评标基准价：</w:t>
            </w:r>
            <w:r>
              <w:rPr>
                <w:rFonts w:hint="eastAsia" w:ascii="仿宋" w:hAnsi="仿宋" w:eastAsia="仿宋" w:cs="仿宋"/>
                <w:i w:val="0"/>
                <w:iCs w:val="0"/>
                <w:color w:val="000000"/>
                <w:sz w:val="24"/>
                <w:szCs w:val="24"/>
                <w:highlight w:val="none"/>
                <w:u w:val="none"/>
              </w:rPr>
              <w:t>报价得分=（</w:t>
            </w:r>
            <w:r>
              <w:rPr>
                <w:rFonts w:hint="eastAsia" w:ascii="仿宋" w:hAnsi="仿宋" w:eastAsia="仿宋" w:cs="仿宋"/>
                <w:i w:val="0"/>
                <w:iCs w:val="0"/>
                <w:color w:val="000000"/>
                <w:sz w:val="24"/>
                <w:szCs w:val="24"/>
                <w:highlight w:val="none"/>
                <w:u w:val="none"/>
                <w:lang w:val="en-US" w:eastAsia="zh-CN"/>
              </w:rPr>
              <w:t>评审</w:t>
            </w:r>
            <w:r>
              <w:rPr>
                <w:rFonts w:hint="eastAsia" w:ascii="仿宋" w:hAnsi="仿宋" w:eastAsia="仿宋" w:cs="仿宋"/>
                <w:i w:val="0"/>
                <w:iCs w:val="0"/>
                <w:color w:val="000000"/>
                <w:sz w:val="24"/>
                <w:szCs w:val="24"/>
                <w:highlight w:val="none"/>
                <w:u w:val="none"/>
              </w:rPr>
              <w:t>基准价/最终报价）×100×</w:t>
            </w:r>
            <w:r>
              <w:rPr>
                <w:rFonts w:hint="eastAsia" w:ascii="仿宋" w:hAnsi="仿宋" w:eastAsia="仿宋" w:cs="仿宋"/>
                <w:i w:val="0"/>
                <w:iCs w:val="0"/>
                <w:color w:val="000000"/>
                <w:sz w:val="24"/>
                <w:szCs w:val="24"/>
                <w:highlight w:val="none"/>
                <w:u w:val="none"/>
                <w:lang w:val="en-US" w:eastAsia="zh-CN"/>
              </w:rPr>
              <w:t>30</w:t>
            </w:r>
            <w:r>
              <w:rPr>
                <w:rFonts w:hint="eastAsia" w:ascii="仿宋" w:hAnsi="仿宋" w:eastAsia="仿宋" w:cs="仿宋"/>
                <w:i w:val="0"/>
                <w:iCs w:val="0"/>
                <w:color w:val="000000"/>
                <w:sz w:val="24"/>
                <w:szCs w:val="24"/>
                <w:highlight w:val="none"/>
                <w:u w:val="none"/>
              </w:rPr>
              <w:t>%。（四舍五入后保留小数点后两位）。</w:t>
            </w:r>
          </w:p>
        </w:tc>
        <w:tc>
          <w:tcPr>
            <w:tcW w:w="765" w:type="dxa"/>
            <w:tcBorders>
              <w:top w:val="single" w:color="000000" w:sz="4" w:space="0"/>
              <w:left w:val="single" w:color="000000" w:sz="4" w:space="0"/>
              <w:bottom w:val="single" w:color="000000" w:sz="4" w:space="0"/>
              <w:right w:val="single" w:color="000000" w:sz="4" w:space="0"/>
            </w:tcBorders>
            <w:noWrap/>
            <w:vAlign w:val="center"/>
          </w:tcPr>
          <w:p w14:paraId="2CC577E7">
            <w:pPr>
              <w:tabs>
                <w:tab w:val="left" w:pos="0"/>
              </w:tabs>
              <w:jc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30</w:t>
            </w:r>
          </w:p>
        </w:tc>
        <w:tc>
          <w:tcPr>
            <w:tcW w:w="1005" w:type="dxa"/>
            <w:tcBorders>
              <w:top w:val="single" w:color="000000" w:sz="4" w:space="0"/>
              <w:left w:val="single" w:color="000000" w:sz="4" w:space="0"/>
              <w:bottom w:val="single" w:color="000000" w:sz="4" w:space="0"/>
              <w:right w:val="single" w:color="000000" w:sz="4" w:space="0"/>
            </w:tcBorders>
            <w:noWrap/>
            <w:vAlign w:val="center"/>
          </w:tcPr>
          <w:p w14:paraId="798C38E9">
            <w:pPr>
              <w:tabs>
                <w:tab w:val="left" w:pos="0"/>
              </w:tabs>
              <w:jc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客观</w:t>
            </w:r>
          </w:p>
        </w:tc>
      </w:tr>
      <w:tr w14:paraId="3A95B6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62" w:type="dxa"/>
            <w:tcBorders>
              <w:top w:val="single" w:color="000000" w:sz="4" w:space="0"/>
              <w:left w:val="single" w:color="000000" w:sz="4" w:space="0"/>
              <w:bottom w:val="single" w:color="000000" w:sz="4" w:space="0"/>
              <w:right w:val="single" w:color="000000" w:sz="4" w:space="0"/>
            </w:tcBorders>
            <w:noWrap/>
            <w:vAlign w:val="center"/>
          </w:tcPr>
          <w:p w14:paraId="080F8C84">
            <w:pPr>
              <w:tabs>
                <w:tab w:val="left" w:pos="0"/>
              </w:tabs>
              <w:jc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w:t>
            </w: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0FE750F7">
            <w:pPr>
              <w:tabs>
                <w:tab w:val="left" w:pos="0"/>
              </w:tabs>
              <w:jc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核心偿付能力充足率</w:t>
            </w:r>
          </w:p>
        </w:tc>
        <w:tc>
          <w:tcPr>
            <w:tcW w:w="4789" w:type="dxa"/>
            <w:tcBorders>
              <w:top w:val="single" w:color="000000" w:sz="4" w:space="0"/>
              <w:left w:val="single" w:color="000000" w:sz="4" w:space="0"/>
              <w:bottom w:val="single" w:color="000000" w:sz="4" w:space="0"/>
              <w:right w:val="single" w:color="000000" w:sz="4" w:space="0"/>
            </w:tcBorders>
            <w:noWrap/>
            <w:vAlign w:val="center"/>
          </w:tcPr>
          <w:p w14:paraId="1A6C1911">
            <w:pPr>
              <w:tabs>
                <w:tab w:val="left" w:pos="0"/>
              </w:tabs>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rPr>
              <w:t>供应商或其总公司上一年度总体平均偿付能力充足率：（1）高于200%（含）以上的，得</w:t>
            </w:r>
            <w:r>
              <w:rPr>
                <w:rFonts w:hint="eastAsia" w:ascii="仿宋" w:hAnsi="仿宋" w:eastAsia="仿宋" w:cs="仿宋"/>
                <w:i w:val="0"/>
                <w:iCs w:val="0"/>
                <w:color w:val="000000"/>
                <w:sz w:val="24"/>
                <w:szCs w:val="24"/>
                <w:highlight w:val="none"/>
                <w:u w:val="none"/>
                <w:lang w:val="en-US" w:eastAsia="zh-CN"/>
              </w:rPr>
              <w:t>30</w:t>
            </w:r>
            <w:r>
              <w:rPr>
                <w:rFonts w:hint="eastAsia" w:ascii="仿宋" w:hAnsi="仿宋" w:eastAsia="仿宋" w:cs="仿宋"/>
                <w:i w:val="0"/>
                <w:iCs w:val="0"/>
                <w:color w:val="000000"/>
                <w:sz w:val="24"/>
                <w:szCs w:val="24"/>
                <w:highlight w:val="none"/>
                <w:u w:val="none"/>
              </w:rPr>
              <w:t>分；（2）150%（含）至200%之间的，得</w:t>
            </w:r>
            <w:r>
              <w:rPr>
                <w:rFonts w:hint="eastAsia" w:ascii="仿宋" w:hAnsi="仿宋" w:eastAsia="仿宋" w:cs="仿宋"/>
                <w:i w:val="0"/>
                <w:iCs w:val="0"/>
                <w:color w:val="000000"/>
                <w:sz w:val="24"/>
                <w:szCs w:val="24"/>
                <w:highlight w:val="none"/>
                <w:u w:val="none"/>
                <w:lang w:val="en-US" w:eastAsia="zh-CN"/>
              </w:rPr>
              <w:t>20</w:t>
            </w:r>
            <w:r>
              <w:rPr>
                <w:rFonts w:hint="eastAsia" w:ascii="仿宋" w:hAnsi="仿宋" w:eastAsia="仿宋" w:cs="仿宋"/>
                <w:i w:val="0"/>
                <w:iCs w:val="0"/>
                <w:color w:val="000000"/>
                <w:sz w:val="24"/>
                <w:szCs w:val="24"/>
                <w:highlight w:val="none"/>
                <w:u w:val="none"/>
              </w:rPr>
              <w:t>分；（3）100%（含）至150%之间的，得</w:t>
            </w:r>
            <w:r>
              <w:rPr>
                <w:rFonts w:hint="eastAsia" w:ascii="仿宋" w:hAnsi="仿宋" w:eastAsia="仿宋" w:cs="仿宋"/>
                <w:i w:val="0"/>
                <w:iCs w:val="0"/>
                <w:color w:val="000000"/>
                <w:sz w:val="24"/>
                <w:szCs w:val="24"/>
                <w:highlight w:val="none"/>
                <w:u w:val="none"/>
                <w:lang w:val="en-US" w:eastAsia="zh-CN"/>
              </w:rPr>
              <w:t>10</w:t>
            </w:r>
            <w:r>
              <w:rPr>
                <w:rFonts w:hint="eastAsia" w:ascii="仿宋" w:hAnsi="仿宋" w:eastAsia="仿宋" w:cs="仿宋"/>
                <w:i w:val="0"/>
                <w:iCs w:val="0"/>
                <w:color w:val="000000"/>
                <w:sz w:val="24"/>
                <w:szCs w:val="24"/>
                <w:highlight w:val="none"/>
                <w:u w:val="none"/>
              </w:rPr>
              <w:t>分；（4）100%以下的，不得分。 注：须提供供应商或其总公司偿付能力报告并加盖供应商公章，未提供或提供不符的不计分，本项最高得</w:t>
            </w:r>
            <w:r>
              <w:rPr>
                <w:rFonts w:hint="eastAsia" w:ascii="仿宋" w:hAnsi="仿宋" w:eastAsia="仿宋" w:cs="仿宋"/>
                <w:i w:val="0"/>
                <w:iCs w:val="0"/>
                <w:color w:val="000000"/>
                <w:sz w:val="24"/>
                <w:szCs w:val="24"/>
                <w:highlight w:val="none"/>
                <w:u w:val="none"/>
                <w:lang w:val="en-US" w:eastAsia="zh-CN"/>
              </w:rPr>
              <w:t>30</w:t>
            </w:r>
            <w:r>
              <w:rPr>
                <w:rFonts w:hint="eastAsia" w:ascii="仿宋" w:hAnsi="仿宋" w:eastAsia="仿宋" w:cs="仿宋"/>
                <w:i w:val="0"/>
                <w:iCs w:val="0"/>
                <w:color w:val="000000"/>
                <w:sz w:val="24"/>
                <w:szCs w:val="24"/>
                <w:highlight w:val="none"/>
                <w:u w:val="none"/>
              </w:rPr>
              <w:t>分。</w:t>
            </w:r>
          </w:p>
        </w:tc>
        <w:tc>
          <w:tcPr>
            <w:tcW w:w="765" w:type="dxa"/>
            <w:tcBorders>
              <w:top w:val="single" w:color="000000" w:sz="4" w:space="0"/>
              <w:left w:val="single" w:color="000000" w:sz="4" w:space="0"/>
              <w:bottom w:val="single" w:color="000000" w:sz="4" w:space="0"/>
              <w:right w:val="single" w:color="000000" w:sz="4" w:space="0"/>
            </w:tcBorders>
            <w:noWrap/>
            <w:vAlign w:val="center"/>
          </w:tcPr>
          <w:p w14:paraId="1006D2A7">
            <w:pPr>
              <w:tabs>
                <w:tab w:val="left" w:pos="0"/>
              </w:tabs>
              <w:jc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30</w:t>
            </w:r>
          </w:p>
        </w:tc>
        <w:tc>
          <w:tcPr>
            <w:tcW w:w="1005" w:type="dxa"/>
            <w:tcBorders>
              <w:top w:val="single" w:color="000000" w:sz="4" w:space="0"/>
              <w:left w:val="single" w:color="000000" w:sz="4" w:space="0"/>
              <w:bottom w:val="single" w:color="000000" w:sz="4" w:space="0"/>
              <w:right w:val="single" w:color="000000" w:sz="4" w:space="0"/>
            </w:tcBorders>
            <w:noWrap/>
            <w:vAlign w:val="center"/>
          </w:tcPr>
          <w:p w14:paraId="7B2E7D23">
            <w:pPr>
              <w:tabs>
                <w:tab w:val="left" w:pos="0"/>
              </w:tabs>
              <w:jc w:val="center"/>
              <w:rPr>
                <w:rFonts w:hint="eastAsia" w:ascii="仿宋" w:hAnsi="仿宋" w:eastAsia="仿宋" w:cs="仿宋"/>
                <w:i w:val="0"/>
                <w:iCs w:val="0"/>
                <w:color w:val="000000"/>
                <w:sz w:val="24"/>
                <w:szCs w:val="24"/>
                <w:u w:val="none"/>
                <w:lang w:eastAsia="zh-CN"/>
              </w:rPr>
            </w:pPr>
            <w:r>
              <w:rPr>
                <w:rFonts w:hint="eastAsia" w:ascii="仿宋" w:hAnsi="仿宋" w:eastAsia="仿宋" w:cs="仿宋"/>
                <w:b w:val="0"/>
                <w:bCs/>
                <w:color w:val="auto"/>
                <w:sz w:val="24"/>
                <w:szCs w:val="24"/>
                <w:lang w:val="en-US" w:eastAsia="zh-CN"/>
              </w:rPr>
              <w:t xml:space="preserve"> </w:t>
            </w:r>
            <w:r>
              <w:rPr>
                <w:rFonts w:hint="eastAsia" w:ascii="仿宋" w:hAnsi="仿宋" w:eastAsia="仿宋" w:cs="仿宋"/>
                <w:i w:val="0"/>
                <w:iCs w:val="0"/>
                <w:color w:val="000000"/>
                <w:sz w:val="24"/>
                <w:szCs w:val="24"/>
                <w:u w:val="none"/>
                <w:lang w:val="en-US" w:eastAsia="zh-CN"/>
              </w:rPr>
              <w:t>客观</w:t>
            </w:r>
          </w:p>
        </w:tc>
      </w:tr>
      <w:tr w14:paraId="304574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62" w:type="dxa"/>
            <w:tcBorders>
              <w:top w:val="single" w:color="000000" w:sz="4" w:space="0"/>
              <w:left w:val="single" w:color="000000" w:sz="4" w:space="0"/>
              <w:bottom w:val="single" w:color="000000" w:sz="4" w:space="0"/>
              <w:right w:val="single" w:color="000000" w:sz="4" w:space="0"/>
            </w:tcBorders>
            <w:noWrap/>
            <w:vAlign w:val="center"/>
          </w:tcPr>
          <w:p w14:paraId="669DBB24">
            <w:pPr>
              <w:tabs>
                <w:tab w:val="left" w:pos="0"/>
              </w:tabs>
              <w:jc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w:t>
            </w: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0AE7A8B0">
            <w:pPr>
              <w:tabs>
                <w:tab w:val="left" w:pos="0"/>
              </w:tabs>
              <w:jc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业绩</w:t>
            </w:r>
          </w:p>
        </w:tc>
        <w:tc>
          <w:tcPr>
            <w:tcW w:w="4789" w:type="dxa"/>
            <w:tcBorders>
              <w:top w:val="single" w:color="000000" w:sz="4" w:space="0"/>
              <w:left w:val="single" w:color="000000" w:sz="4" w:space="0"/>
              <w:bottom w:val="single" w:color="000000" w:sz="4" w:space="0"/>
              <w:right w:val="single" w:color="000000" w:sz="4" w:space="0"/>
            </w:tcBorders>
            <w:noWrap/>
            <w:vAlign w:val="center"/>
          </w:tcPr>
          <w:p w14:paraId="061EBEA2">
            <w:pPr>
              <w:tabs>
                <w:tab w:val="left" w:pos="0"/>
              </w:tabs>
              <w:jc w:val="left"/>
              <w:rPr>
                <w:rFonts w:hint="eastAsia"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供应商自2023年1月1日至今（以合同签订时间或保险生效时间为准）有类似承保经验的，每提供一个类似业绩得5分，本项最高得20分。 注：须提供保单扫描件或合同扫描件并加盖供应商公章，同一客户（医疗机构）不同保险期限的只按一项承保经验计算，未提供或提供不全的不计分。</w:t>
            </w:r>
          </w:p>
        </w:tc>
        <w:tc>
          <w:tcPr>
            <w:tcW w:w="765" w:type="dxa"/>
            <w:tcBorders>
              <w:top w:val="single" w:color="000000" w:sz="4" w:space="0"/>
              <w:left w:val="single" w:color="000000" w:sz="4" w:space="0"/>
              <w:bottom w:val="single" w:color="000000" w:sz="4" w:space="0"/>
              <w:right w:val="single" w:color="000000" w:sz="4" w:space="0"/>
            </w:tcBorders>
            <w:noWrap/>
            <w:vAlign w:val="center"/>
          </w:tcPr>
          <w:p w14:paraId="1059BA2A">
            <w:pPr>
              <w:tabs>
                <w:tab w:val="left" w:pos="0"/>
              </w:tabs>
              <w:jc w:val="center"/>
              <w:rPr>
                <w:rFonts w:hint="eastAsia" w:ascii="仿宋" w:hAnsi="仿宋" w:eastAsia="仿宋" w:cs="仿宋"/>
                <w:b w:val="0"/>
                <w:bCs/>
                <w:color w:val="auto"/>
                <w:sz w:val="24"/>
                <w:szCs w:val="24"/>
                <w:lang w:val="en-US" w:eastAsia="zh-CN"/>
              </w:rPr>
            </w:pPr>
            <w:r>
              <w:rPr>
                <w:rFonts w:hint="eastAsia" w:ascii="仿宋" w:hAnsi="仿宋" w:eastAsia="仿宋" w:cs="仿宋"/>
                <w:b w:val="0"/>
                <w:bCs/>
                <w:color w:val="auto"/>
                <w:sz w:val="24"/>
                <w:szCs w:val="24"/>
                <w:lang w:val="en-US" w:eastAsia="zh-CN"/>
              </w:rPr>
              <w:t>20</w:t>
            </w:r>
          </w:p>
        </w:tc>
        <w:tc>
          <w:tcPr>
            <w:tcW w:w="1005" w:type="dxa"/>
            <w:tcBorders>
              <w:top w:val="single" w:color="000000" w:sz="4" w:space="0"/>
              <w:left w:val="single" w:color="000000" w:sz="4" w:space="0"/>
              <w:bottom w:val="single" w:color="000000" w:sz="4" w:space="0"/>
              <w:right w:val="single" w:color="000000" w:sz="4" w:space="0"/>
            </w:tcBorders>
            <w:noWrap/>
            <w:vAlign w:val="center"/>
          </w:tcPr>
          <w:p w14:paraId="6ACEE2C1">
            <w:pPr>
              <w:tabs>
                <w:tab w:val="left" w:pos="0"/>
              </w:tabs>
              <w:jc w:val="center"/>
              <w:rPr>
                <w:rFonts w:hint="eastAsia" w:ascii="仿宋" w:hAnsi="仿宋" w:eastAsia="仿宋" w:cs="仿宋"/>
                <w:b w:val="0"/>
                <w:bCs/>
                <w:color w:val="auto"/>
                <w:sz w:val="24"/>
                <w:szCs w:val="24"/>
                <w:lang w:val="en-US" w:eastAsia="zh-CN"/>
              </w:rPr>
            </w:pPr>
            <w:r>
              <w:rPr>
                <w:rFonts w:hint="eastAsia" w:ascii="仿宋" w:hAnsi="仿宋" w:eastAsia="仿宋" w:cs="仿宋"/>
                <w:i w:val="0"/>
                <w:iCs w:val="0"/>
                <w:color w:val="000000"/>
                <w:sz w:val="24"/>
                <w:szCs w:val="24"/>
                <w:u w:val="none"/>
                <w:lang w:val="en-US" w:eastAsia="zh-CN"/>
              </w:rPr>
              <w:t>客观</w:t>
            </w:r>
          </w:p>
        </w:tc>
      </w:tr>
      <w:tr w14:paraId="23CF5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62" w:type="dxa"/>
            <w:tcBorders>
              <w:top w:val="single" w:color="000000" w:sz="4" w:space="0"/>
              <w:left w:val="single" w:color="000000" w:sz="4" w:space="0"/>
              <w:bottom w:val="single" w:color="000000" w:sz="4" w:space="0"/>
              <w:right w:val="single" w:color="000000" w:sz="4" w:space="0"/>
            </w:tcBorders>
            <w:noWrap/>
            <w:vAlign w:val="center"/>
          </w:tcPr>
          <w:p w14:paraId="3A887179">
            <w:pPr>
              <w:tabs>
                <w:tab w:val="left" w:pos="0"/>
              </w:tabs>
              <w:jc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4</w:t>
            </w: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775C718B">
            <w:pPr>
              <w:tabs>
                <w:tab w:val="left" w:pos="0"/>
              </w:tabs>
              <w:jc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服务保障</w:t>
            </w:r>
            <w:r>
              <w:rPr>
                <w:rFonts w:hint="eastAsia" w:ascii="仿宋" w:hAnsi="仿宋" w:eastAsia="仿宋" w:cs="仿宋"/>
                <w:b w:val="0"/>
                <w:bCs/>
                <w:color w:val="auto"/>
                <w:sz w:val="24"/>
                <w:szCs w:val="24"/>
                <w:lang w:val="en-US" w:eastAsia="zh-CN"/>
              </w:rPr>
              <w:t>措施</w:t>
            </w:r>
          </w:p>
        </w:tc>
        <w:tc>
          <w:tcPr>
            <w:tcW w:w="4789" w:type="dxa"/>
            <w:tcBorders>
              <w:top w:val="single" w:color="000000" w:sz="4" w:space="0"/>
              <w:left w:val="single" w:color="000000" w:sz="4" w:space="0"/>
              <w:bottom w:val="single" w:color="000000" w:sz="4" w:space="0"/>
              <w:right w:val="single" w:color="000000" w:sz="4" w:space="0"/>
            </w:tcBorders>
            <w:noWrap/>
            <w:vAlign w:val="center"/>
          </w:tcPr>
          <w:p w14:paraId="45BFDB75">
            <w:pPr>
              <w:tabs>
                <w:tab w:val="left" w:pos="0"/>
              </w:tabs>
              <w:jc w:val="left"/>
              <w:rPr>
                <w:rFonts w:hint="eastAsia" w:ascii="仿宋" w:hAnsi="仿宋" w:eastAsia="仿宋" w:cs="仿宋"/>
                <w:b w:val="0"/>
                <w:bCs/>
                <w:color w:val="auto"/>
                <w:sz w:val="24"/>
                <w:szCs w:val="24"/>
                <w:lang w:val="en-US" w:eastAsia="zh-CN"/>
              </w:rPr>
            </w:pPr>
            <w:r>
              <w:rPr>
                <w:rFonts w:hint="eastAsia" w:ascii="仿宋" w:hAnsi="仿宋" w:eastAsia="仿宋" w:cs="仿宋"/>
                <w:b w:val="0"/>
                <w:bCs/>
                <w:color w:val="auto"/>
                <w:sz w:val="24"/>
                <w:szCs w:val="24"/>
                <w:lang w:val="en-US" w:eastAsia="zh-CN"/>
              </w:rPr>
              <w:t>根据供应商针对本项目提供的服务保障措施进行评审，方案包括：①综合承保能力；②对特殊案件的赔付能力；③简易定责和便捷理赔服务；④协助调解纠纷和风险防范工作。以上4项内容完全符合项目实际需求及项目情况的得20分；每缺少一项内容或不满足需求扣5分，其中每有一处内容有缺陷的扣2.5分，最多扣20分。说明：完全符合项目实际需求及项目情况是指：方案包含但不限于上述内容的文字、图片、表格等形式详细呈现方案内容，方案内容符合行业政策、满足本项目要求；内容存在缺陷是指：方案内容生搬硬造、非专门针对本项目或内容脱离项目实际情况、套用其他项目方案、内容前后矛盾、涉及的规范及标准错误、项目名称错误、实施地点错误，②内容仅有框架、标题但未对本项目进行阐述的情形中任意一种情形。</w:t>
            </w:r>
          </w:p>
        </w:tc>
        <w:tc>
          <w:tcPr>
            <w:tcW w:w="765" w:type="dxa"/>
            <w:tcBorders>
              <w:top w:val="single" w:color="000000" w:sz="4" w:space="0"/>
              <w:left w:val="single" w:color="000000" w:sz="4" w:space="0"/>
              <w:bottom w:val="single" w:color="000000" w:sz="4" w:space="0"/>
              <w:right w:val="single" w:color="000000" w:sz="4" w:space="0"/>
            </w:tcBorders>
            <w:noWrap/>
            <w:vAlign w:val="center"/>
          </w:tcPr>
          <w:p w14:paraId="1EBE2EB7">
            <w:pPr>
              <w:tabs>
                <w:tab w:val="left" w:pos="0"/>
              </w:tabs>
              <w:jc w:val="center"/>
              <w:rPr>
                <w:rFonts w:hint="eastAsia" w:ascii="仿宋" w:hAnsi="仿宋" w:eastAsia="仿宋" w:cs="仿宋"/>
                <w:b w:val="0"/>
                <w:bCs/>
                <w:color w:val="auto"/>
                <w:sz w:val="24"/>
                <w:szCs w:val="24"/>
                <w:lang w:val="en-US" w:eastAsia="zh-CN"/>
              </w:rPr>
            </w:pPr>
            <w:r>
              <w:rPr>
                <w:rFonts w:hint="eastAsia" w:ascii="仿宋" w:hAnsi="仿宋" w:eastAsia="仿宋" w:cs="仿宋"/>
                <w:b w:val="0"/>
                <w:bCs/>
                <w:color w:val="auto"/>
                <w:sz w:val="24"/>
                <w:szCs w:val="24"/>
                <w:lang w:val="en-US" w:eastAsia="zh-CN"/>
              </w:rPr>
              <w:t>20</w:t>
            </w:r>
          </w:p>
        </w:tc>
        <w:tc>
          <w:tcPr>
            <w:tcW w:w="1005" w:type="dxa"/>
            <w:tcBorders>
              <w:top w:val="single" w:color="000000" w:sz="4" w:space="0"/>
              <w:left w:val="single" w:color="000000" w:sz="4" w:space="0"/>
              <w:bottom w:val="single" w:color="000000" w:sz="4" w:space="0"/>
              <w:right w:val="single" w:color="000000" w:sz="4" w:space="0"/>
            </w:tcBorders>
            <w:noWrap/>
            <w:vAlign w:val="center"/>
          </w:tcPr>
          <w:p w14:paraId="37CE3EA8">
            <w:pPr>
              <w:tabs>
                <w:tab w:val="left" w:pos="0"/>
              </w:tabs>
              <w:jc w:val="center"/>
              <w:rPr>
                <w:rFonts w:hint="default" w:ascii="仿宋" w:hAnsi="仿宋" w:eastAsia="仿宋" w:cs="仿宋"/>
                <w:b w:val="0"/>
                <w:bCs/>
                <w:color w:val="auto"/>
                <w:sz w:val="24"/>
                <w:szCs w:val="24"/>
                <w:lang w:val="en-US" w:eastAsia="zh-CN"/>
              </w:rPr>
            </w:pPr>
            <w:r>
              <w:rPr>
                <w:rFonts w:hint="eastAsia" w:ascii="仿宋" w:hAnsi="仿宋" w:eastAsia="仿宋" w:cs="仿宋"/>
                <w:b w:val="0"/>
                <w:bCs/>
                <w:color w:val="auto"/>
                <w:sz w:val="24"/>
                <w:szCs w:val="24"/>
                <w:lang w:val="en-US" w:eastAsia="zh-CN"/>
              </w:rPr>
              <w:t>主</w:t>
            </w:r>
            <w:r>
              <w:rPr>
                <w:rFonts w:hint="eastAsia" w:ascii="仿宋" w:hAnsi="仿宋" w:eastAsia="仿宋" w:cs="仿宋"/>
                <w:i w:val="0"/>
                <w:iCs w:val="0"/>
                <w:color w:val="000000"/>
                <w:sz w:val="24"/>
                <w:szCs w:val="24"/>
                <w:u w:val="none"/>
                <w:lang w:val="en-US" w:eastAsia="zh-CN"/>
              </w:rPr>
              <w:t>观</w:t>
            </w:r>
          </w:p>
        </w:tc>
      </w:tr>
    </w:tbl>
    <w:p w14:paraId="74EE7AD2">
      <w:pPr>
        <w:keepNext w:val="0"/>
        <w:keepLines w:val="0"/>
        <w:pageBreakBefore w:val="0"/>
        <w:tabs>
          <w:tab w:val="left" w:pos="0"/>
        </w:tabs>
        <w:kinsoku/>
        <w:wordWrap/>
        <w:overflowPunct/>
        <w:topLinePunct w:val="0"/>
        <w:autoSpaceDE/>
        <w:autoSpaceDN/>
        <w:bidi w:val="0"/>
        <w:spacing w:line="520" w:lineRule="exact"/>
        <w:ind w:firstLine="482" w:firstLineChars="200"/>
        <w:textAlignment w:val="auto"/>
        <w:rPr>
          <w:rFonts w:hint="eastAsia" w:ascii="仿宋" w:hAnsi="仿宋" w:eastAsia="仿宋" w:cstheme="minorBidi"/>
          <w:b/>
          <w:bCs/>
          <w:color w:val="auto"/>
          <w:kern w:val="2"/>
          <w:sz w:val="24"/>
          <w:szCs w:val="28"/>
          <w:highlight w:val="none"/>
          <w:lang w:val="en-US" w:eastAsia="zh-CN" w:bidi="ar-SA"/>
        </w:rPr>
      </w:pPr>
    </w:p>
    <w:p w14:paraId="700A950C">
      <w:pPr>
        <w:keepNext w:val="0"/>
        <w:keepLines w:val="0"/>
        <w:pageBreakBefore w:val="0"/>
        <w:tabs>
          <w:tab w:val="left" w:pos="0"/>
        </w:tabs>
        <w:kinsoku/>
        <w:wordWrap/>
        <w:overflowPunct/>
        <w:topLinePunct w:val="0"/>
        <w:autoSpaceDE/>
        <w:autoSpaceDN/>
        <w:bidi w:val="0"/>
        <w:spacing w:line="520" w:lineRule="exact"/>
        <w:ind w:firstLine="482" w:firstLineChars="200"/>
        <w:textAlignment w:val="auto"/>
        <w:rPr>
          <w:rFonts w:hint="default" w:ascii="仿宋" w:hAnsi="仿宋" w:eastAsia="仿宋" w:cstheme="minorBidi"/>
          <w:b/>
          <w:bCs/>
          <w:color w:val="auto"/>
          <w:kern w:val="2"/>
          <w:sz w:val="24"/>
          <w:szCs w:val="28"/>
          <w:highlight w:val="none"/>
          <w:lang w:val="en-US" w:eastAsia="zh-CN" w:bidi="ar-SA"/>
        </w:rPr>
      </w:pPr>
    </w:p>
    <w:p w14:paraId="7063BE00">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right="0" w:rightChars="0"/>
        <w:jc w:val="left"/>
        <w:rPr>
          <w:rFonts w:hint="eastAsia" w:ascii="仿宋" w:hAnsi="仿宋" w:eastAsia="仿宋" w:cs="仿宋"/>
          <w:b/>
          <w:bCs/>
          <w:i w:val="0"/>
          <w:strike w:val="0"/>
          <w:color w:val="auto"/>
          <w:kern w:val="0"/>
          <w:sz w:val="24"/>
          <w:szCs w:val="24"/>
          <w:highlight w:val="none"/>
          <w:u w:val="none"/>
          <w:lang w:val="en-US" w:eastAsia="zh-CN" w:bidi="ar"/>
        </w:rPr>
      </w:pPr>
      <w:r>
        <w:rPr>
          <w:rFonts w:hint="eastAsia" w:ascii="仿宋" w:hAnsi="仿宋" w:eastAsia="仿宋" w:cs="仿宋"/>
          <w:b/>
          <w:bCs/>
          <w:i w:val="0"/>
          <w:strike w:val="0"/>
          <w:color w:val="auto"/>
          <w:kern w:val="0"/>
          <w:sz w:val="24"/>
          <w:szCs w:val="24"/>
          <w:highlight w:val="none"/>
          <w:u w:val="none"/>
          <w:lang w:val="en-US" w:eastAsia="zh-CN" w:bidi="ar"/>
        </w:rPr>
        <w:t>注：1.本章实质性条款，供应商必须满足；未满足，按照无效响应处理。</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5CD6FA">
    <w:pPr>
      <w:pStyle w:val="4"/>
      <w:tabs>
        <w:tab w:val="center" w:pos="4153"/>
        <w:tab w:val="right" w:pos="8306"/>
        <w:tab w:val="clear" w:pos="0"/>
      </w:tabs>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0D92AE">
                          <w:pPr>
                            <w:pStyle w:val="4"/>
                            <w:tabs>
                              <w:tab w:val="center" w:pos="4153"/>
                              <w:tab w:val="right" w:pos="8306"/>
                              <w:tab w:val="clear" w:pos="0"/>
                            </w:tabs>
                          </w:pPr>
                          <w:r>
                            <w:rPr>
                              <w:rFonts w:hint="eastAsia"/>
                            </w:rPr>
                            <w:fldChar w:fldCharType="begin"/>
                          </w:r>
                          <w:r>
                            <w:rPr>
                              <w:rFonts w:hint="eastAsia"/>
                            </w:rPr>
                            <w:instrText xml:space="preserve"> PAGE  \* MERGEFORMAT </w:instrText>
                          </w:r>
                          <w:r>
                            <w:rPr>
                              <w:rFonts w:hint="eastAsia"/>
                            </w:rPr>
                            <w:fldChar w:fldCharType="separate"/>
                          </w:r>
                          <w:r>
                            <w:t>59</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70D92AE">
                    <w:pPr>
                      <w:pStyle w:val="4"/>
                      <w:tabs>
                        <w:tab w:val="center" w:pos="4153"/>
                        <w:tab w:val="right" w:pos="8306"/>
                        <w:tab w:val="clear" w:pos="0"/>
                      </w:tabs>
                    </w:pPr>
                    <w:r>
                      <w:rPr>
                        <w:rFonts w:hint="eastAsia"/>
                      </w:rPr>
                      <w:fldChar w:fldCharType="begin"/>
                    </w:r>
                    <w:r>
                      <w:rPr>
                        <w:rFonts w:hint="eastAsia"/>
                      </w:rPr>
                      <w:instrText xml:space="preserve"> PAGE  \* MERGEFORMAT </w:instrText>
                    </w:r>
                    <w:r>
                      <w:rPr>
                        <w:rFonts w:hint="eastAsia"/>
                      </w:rPr>
                      <w:fldChar w:fldCharType="separate"/>
                    </w:r>
                    <w:r>
                      <w:t>59</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F9A1F">
    <w:pPr>
      <w:pStyle w:val="5"/>
      <w:pBdr>
        <w:bottom w:val="none" w:color="auto" w:sz="0" w:space="1"/>
      </w:pBdr>
      <w:tabs>
        <w:tab w:val="center" w:pos="4153"/>
        <w:tab w:val="right" w:pos="8306"/>
        <w:tab w:val="clear" w:pos="0"/>
      </w:tabs>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4D8E0A"/>
    <w:multiLevelType w:val="multilevel"/>
    <w:tmpl w:val="B04D8E0A"/>
    <w:lvl w:ilvl="0" w:tentative="0">
      <w:start w:val="1"/>
      <w:numFmt w:val="chineseCounting"/>
      <w:pStyle w:val="10"/>
      <w:suff w:val="nothing"/>
      <w:lvlText w:val="第%1章 "/>
      <w:lvlJc w:val="left"/>
      <w:pPr>
        <w:tabs>
          <w:tab w:val="left" w:pos="0"/>
        </w:tabs>
        <w:ind w:left="0" w:firstLine="0"/>
      </w:pPr>
      <w:rPr>
        <w:rFonts w:hint="eastAsia" w:ascii="宋体" w:hAnsi="宋体" w:eastAsia="宋体" w:cs="宋体"/>
      </w:rPr>
    </w:lvl>
    <w:lvl w:ilvl="1" w:tentative="0">
      <w:start w:val="1"/>
      <w:numFmt w:val="chineseCounting"/>
      <w:pStyle w:val="12"/>
      <w:suff w:val="nothing"/>
      <w:lvlText w:val="%2、"/>
      <w:lvlJc w:val="left"/>
      <w:pPr>
        <w:ind w:left="0" w:firstLine="0"/>
      </w:pPr>
      <w:rPr>
        <w:rFonts w:hint="eastAsia" w:ascii="宋体" w:hAnsi="宋体" w:eastAsia="宋体" w:cs="宋体"/>
      </w:rPr>
    </w:lvl>
    <w:lvl w:ilvl="2" w:tentative="0">
      <w:start w:val="1"/>
      <w:numFmt w:val="chineseCounting"/>
      <w:suff w:val="nothing"/>
      <w:lvlText w:val="(%3)"/>
      <w:lvlJc w:val="left"/>
      <w:pPr>
        <w:tabs>
          <w:tab w:val="left" w:pos="0"/>
        </w:tabs>
        <w:ind w:left="0" w:firstLine="0"/>
      </w:pPr>
      <w:rPr>
        <w:rFonts w:hint="eastAsia" w:ascii="宋体" w:hAnsi="宋体" w:eastAsia="宋体" w:cs="宋体"/>
      </w:rPr>
    </w:lvl>
    <w:lvl w:ilvl="3" w:tentative="0">
      <w:start w:val="1"/>
      <w:numFmt w:val="decimal"/>
      <w:suff w:val="nothing"/>
      <w:lvlText w:val="%4."/>
      <w:lvlJc w:val="left"/>
      <w:pPr>
        <w:tabs>
          <w:tab w:val="left" w:pos="0"/>
        </w:tabs>
        <w:ind w:left="0" w:firstLine="0"/>
      </w:pPr>
      <w:rPr>
        <w:rFonts w:hint="eastAsia" w:ascii="宋体" w:hAnsi="宋体" w:eastAsia="宋体" w:cs="宋体"/>
      </w:rPr>
    </w:lvl>
    <w:lvl w:ilvl="4" w:tentative="0">
      <w:start w:val="1"/>
      <w:numFmt w:val="decimal"/>
      <w:suff w:val="nothing"/>
      <w:lvlText w:val="%4.%5"/>
      <w:lvlJc w:val="left"/>
      <w:pPr>
        <w:ind w:left="0" w:firstLine="0"/>
      </w:pPr>
      <w:rPr>
        <w:rFonts w:hint="eastAsia" w:ascii="宋体" w:hAnsi="宋体" w:eastAsia="宋体" w:cs="宋体"/>
      </w:rPr>
    </w:lvl>
    <w:lvl w:ilvl="5" w:tentative="0">
      <w:start w:val="1"/>
      <w:numFmt w:val="decimal"/>
      <w:suff w:val="nothing"/>
      <w:lvlText w:val="(%6)"/>
      <w:lvlJc w:val="left"/>
      <w:pPr>
        <w:ind w:left="0" w:firstLine="0"/>
      </w:pPr>
      <w:rPr>
        <w:rFonts w:hint="eastAsia" w:ascii="宋体" w:hAnsi="宋体" w:eastAsia="宋体" w:cs="宋体"/>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277C9"/>
    <w:rsid w:val="005A3913"/>
    <w:rsid w:val="025F787A"/>
    <w:rsid w:val="028D5DC9"/>
    <w:rsid w:val="03C17334"/>
    <w:rsid w:val="06D53145"/>
    <w:rsid w:val="08F05825"/>
    <w:rsid w:val="0EE35732"/>
    <w:rsid w:val="10AC78D6"/>
    <w:rsid w:val="14401CD6"/>
    <w:rsid w:val="16A66988"/>
    <w:rsid w:val="16D76A65"/>
    <w:rsid w:val="18095344"/>
    <w:rsid w:val="18E124D7"/>
    <w:rsid w:val="199944A6"/>
    <w:rsid w:val="19F60641"/>
    <w:rsid w:val="1B1C6BDA"/>
    <w:rsid w:val="1CB71BD2"/>
    <w:rsid w:val="1EAF0D67"/>
    <w:rsid w:val="1ED41ADC"/>
    <w:rsid w:val="21090163"/>
    <w:rsid w:val="21A67760"/>
    <w:rsid w:val="25D25E0F"/>
    <w:rsid w:val="26DF6E71"/>
    <w:rsid w:val="28C11017"/>
    <w:rsid w:val="2B7D3C27"/>
    <w:rsid w:val="2D127B5A"/>
    <w:rsid w:val="2D336628"/>
    <w:rsid w:val="2FE04785"/>
    <w:rsid w:val="30B40647"/>
    <w:rsid w:val="331210F9"/>
    <w:rsid w:val="35EA1588"/>
    <w:rsid w:val="38602906"/>
    <w:rsid w:val="38877E93"/>
    <w:rsid w:val="3ABC7B9C"/>
    <w:rsid w:val="3B3D4929"/>
    <w:rsid w:val="3CCA06C4"/>
    <w:rsid w:val="4013746F"/>
    <w:rsid w:val="40310AAC"/>
    <w:rsid w:val="40E14FD6"/>
    <w:rsid w:val="42333799"/>
    <w:rsid w:val="444529B0"/>
    <w:rsid w:val="46D15CF5"/>
    <w:rsid w:val="4A620295"/>
    <w:rsid w:val="4B45498E"/>
    <w:rsid w:val="4B8059D0"/>
    <w:rsid w:val="51044078"/>
    <w:rsid w:val="53380018"/>
    <w:rsid w:val="53385456"/>
    <w:rsid w:val="540B6226"/>
    <w:rsid w:val="548226C0"/>
    <w:rsid w:val="55347222"/>
    <w:rsid w:val="557064FF"/>
    <w:rsid w:val="55AD1AB8"/>
    <w:rsid w:val="561128A8"/>
    <w:rsid w:val="568D0913"/>
    <w:rsid w:val="5A044AC5"/>
    <w:rsid w:val="5A9A1850"/>
    <w:rsid w:val="5B435A44"/>
    <w:rsid w:val="5C0B21C5"/>
    <w:rsid w:val="650E70C3"/>
    <w:rsid w:val="664D68E2"/>
    <w:rsid w:val="6DA374CC"/>
    <w:rsid w:val="6E7D0E15"/>
    <w:rsid w:val="6EF57DEC"/>
    <w:rsid w:val="6F817657"/>
    <w:rsid w:val="70D82090"/>
    <w:rsid w:val="71A91862"/>
    <w:rsid w:val="71AD3F26"/>
    <w:rsid w:val="72DD1E82"/>
    <w:rsid w:val="76C21EBA"/>
    <w:rsid w:val="7740176A"/>
    <w:rsid w:val="7789594B"/>
    <w:rsid w:val="79381593"/>
    <w:rsid w:val="79533E8D"/>
    <w:rsid w:val="79BD2A0E"/>
    <w:rsid w:val="7F272163"/>
    <w:rsid w:val="7F8244DD"/>
    <w:rsid w:val="7FC325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tabs>
        <w:tab w:val="left" w:pos="0"/>
      </w:tabs>
      <w:ind w:firstLine="200" w:firstLineChars="200"/>
    </w:pPr>
  </w:style>
  <w:style w:type="paragraph" w:styleId="4">
    <w:name w:val="footer"/>
    <w:basedOn w:val="1"/>
    <w:qFormat/>
    <w:uiPriority w:val="0"/>
    <w:pPr>
      <w:tabs>
        <w:tab w:val="left" w:pos="0"/>
      </w:tabs>
      <w:spacing w:line="240" w:lineRule="auto"/>
    </w:pPr>
    <w:rPr>
      <w:sz w:val="18"/>
      <w:szCs w:val="18"/>
    </w:rPr>
  </w:style>
  <w:style w:type="paragraph" w:styleId="5">
    <w:name w:val="header"/>
    <w:basedOn w:val="1"/>
    <w:next w:val="1"/>
    <w:qFormat/>
    <w:uiPriority w:val="0"/>
    <w:pPr>
      <w:pBdr>
        <w:bottom w:val="single" w:color="auto" w:sz="6" w:space="1"/>
      </w:pBdr>
      <w:tabs>
        <w:tab w:val="left" w:pos="0"/>
      </w:tabs>
      <w:wordWrap w:val="0"/>
      <w:topLinePunct/>
      <w:spacing w:line="240" w:lineRule="auto"/>
      <w:jc w:val="center"/>
    </w:pPr>
    <w:rPr>
      <w:sz w:val="18"/>
      <w:szCs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 w:type="paragraph" w:customStyle="1" w:styleId="10">
    <w:name w:val="14、“第一章”一级标题"/>
    <w:basedOn w:val="11"/>
    <w:autoRedefine/>
    <w:qFormat/>
    <w:uiPriority w:val="0"/>
    <w:pPr>
      <w:numPr>
        <w:ilvl w:val="0"/>
        <w:numId w:val="1"/>
      </w:numPr>
      <w:spacing w:before="50" w:beforeLines="50" w:after="50" w:afterLines="50" w:line="240" w:lineRule="auto"/>
      <w:jc w:val="center"/>
      <w:outlineLvl w:val="0"/>
    </w:pPr>
    <w:rPr>
      <w:b/>
      <w:sz w:val="36"/>
    </w:rPr>
  </w:style>
  <w:style w:type="paragraph" w:customStyle="1" w:styleId="11">
    <w:name w:val="01、普通正文"/>
    <w:basedOn w:val="1"/>
    <w:autoRedefine/>
    <w:qFormat/>
    <w:uiPriority w:val="0"/>
    <w:pPr>
      <w:tabs>
        <w:tab w:val="left" w:pos="0"/>
      </w:tabs>
      <w:wordWrap w:val="0"/>
      <w:topLinePunct/>
    </w:pPr>
    <w:rPr>
      <w:snapToGrid w:val="0"/>
    </w:rPr>
  </w:style>
  <w:style w:type="paragraph" w:customStyle="1" w:styleId="12">
    <w:name w:val="15、“一、”二级标题"/>
    <w:basedOn w:val="1"/>
    <w:autoRedefine/>
    <w:qFormat/>
    <w:uiPriority w:val="0"/>
    <w:pPr>
      <w:numPr>
        <w:ilvl w:val="1"/>
        <w:numId w:val="1"/>
      </w:numPr>
      <w:tabs>
        <w:tab w:val="left" w:pos="0"/>
      </w:tabs>
      <w:wordWrap w:val="0"/>
      <w:topLinePunct/>
      <w:ind w:firstLine="803" w:firstLineChars="200"/>
      <w:outlineLvl w:val="1"/>
    </w:pPr>
    <w:rPr>
      <w:b/>
    </w:rPr>
  </w:style>
  <w:style w:type="paragraph" w:customStyle="1" w:styleId="13">
    <w:name w:val="null3"/>
    <w:autoRedefine/>
    <w:hidden/>
    <w:qFormat/>
    <w:uiPriority w:val="0"/>
    <w:rPr>
      <w:rFonts w:hint="eastAsia" w:asciiTheme="minorHAnsi" w:hAnsiTheme="minorHAnsi" w:eastAsiaTheme="minorEastAsia" w:cstheme="minorBidi"/>
      <w:lang w:val="en-US" w:eastAsia="zh-Han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61167d24-dee0-49d0-b3ba-bb9afd837e46</errorID>
      <errorWord>的的</errorWord>
      <group>L1_Word</group>
      <groupName>字词问题</groupName>
      <ability>L2_Typo</ability>
      <abilityName>字词错误</abilityName>
      <candidateList>
        <item>的</item>
      </candidateList>
      <explain/>
      <paraID>52B9F77B</paraID>
      <start>18</start>
      <end>19</end>
      <status>modified</status>
      <modifiedWord>的</modifiedWord>
      <trackRevisions>false</trackRevisions>
    </reviewItem>
    <reviewItem>
      <errorID>2b640850-d43a-4185-8201-c5cd6879d01d</errorID>
      <errorWord>作</errorWord>
      <group>L1_Word</group>
      <groupName>字词问题</groupName>
      <ability>L2_Typo</ability>
      <abilityName>字词错误</abilityName>
      <candidateList>
        <item>做</item>
      </candidateList>
      <explain>存在发音相同字词的误用。</explain>
      <paraID>5CBE4EA4</paraID>
      <start>64</start>
      <end>65</end>
      <status>modified</status>
      <modifiedWord>做</modifiedWord>
      <trackRevisions>false</trackRevisions>
    </reviewItem>
    <reviewItem>
      <errorID>4afa53a6-2bf1-4411-856f-ed3dcb5a1207</errorID>
      <errorWord>:</errorWord>
      <group>L1_Format</group>
      <groupName>格式问题</groupName>
      <ability>L2_HalfPunc_CN</ability>
      <abilityName>全半角问题</abilityName>
      <candidateList>
        <item>：</item>
      </candidateList>
      <explain>文本全半角错误。</explain>
      <paraID>3D8C35D6</paraID>
      <start>9</start>
      <end>10</end>
      <status>modified</status>
      <modifiedWord>：</modifiedWord>
      <trackRevisions>false</trackRevisions>
    </reviewItem>
    <reviewItem>
      <errorID>ad9813a4-7d26-4d55-bb74-d1c96c3929de</errorID>
      <errorWord>,</errorWord>
      <group>L1_Format</group>
      <groupName>格式问题</groupName>
      <ability>L2_HalfPunc_CN</ability>
      <abilityName>全半角问题</abilityName>
      <candidateList>
        <item>，</item>
      </candidateList>
      <explain>文本全半角错误。</explain>
      <paraID>3D8C35D6</paraID>
      <start>16</start>
      <end>17</end>
      <status>modified</status>
      <modifiedWord>，</modifiedWord>
      <trackRevisions>false</trackRevisions>
    </reviewItem>
    <reviewItem>
      <errorID>7b14826f-a4ea-4d24-b4ec-d85d644d9cd1</errorID>
      <errorWord>其它</errorWord>
      <group>L1_Word</group>
      <groupName>字词问题</groupName>
      <ability>L2_Alias</ability>
      <abilityName>也作/曾用词</abilityName>
      <candidateList>
        <item>其他</item>
      </candidateList>
      <explain>词汇[其它]为不规范表述或旧称，其规范书面表述为[其他]。</explain>
      <paraID>4FDBCCD0</paraID>
      <start>56</start>
      <end>58</end>
      <status>modified</status>
      <modifiedWord>其他</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cd35e6c-3079-4665-ae8c-08567219bf73}">
  <ds:schemaRefs/>
</ds:datastoreItem>
</file>

<file path=docProps/app.xml><?xml version="1.0" encoding="utf-8"?>
<Properties xmlns="http://schemas.openxmlformats.org/officeDocument/2006/extended-properties" xmlns:vt="http://schemas.openxmlformats.org/officeDocument/2006/docPropsVTypes">
  <Template>Normal.dotm</Template>
  <Pages>8</Pages>
  <Words>5614</Words>
  <Characters>5846</Characters>
  <Lines>0</Lines>
  <Paragraphs>0</Paragraphs>
  <TotalTime>2</TotalTime>
  <ScaleCrop>false</ScaleCrop>
  <LinksUpToDate>false</LinksUpToDate>
  <CharactersWithSpaces>5853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2026-08-11T02:24:00Z</dcterms:created>
  <dc:creator>asus</dc:creator>
  <cp:lastModifiedBy>陌影</cp:lastModifiedBy>
  <cp:lastPrinted>2026-08-19T03:34:00Z</cp:lastPrinted>
  <dcterms:modified xsi:type="dcterms:W3CDTF">2026-10-14T00:27:39Z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eyJoZGlkIjoiYzRiNTZhMjY5MWRmMTg2MDMzMGNlOWM2YmVkZGQ2NzQiLCJ1c2VySWQiOiIyMzc0NDc0MDgifQ==</vt:lpwstr>
  </property>
  <property fmtid="{D5CDD505-2E9C-101B-9397-08002B2CF9AE}" pid="4" name="ICV">
    <vt:lpwstr>00D63D8DA9874212A90BB9D1377C4213_12</vt:lpwstr>
  </property>
</Properties>
</file>