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7C3AC">
      <w:pPr>
        <w:spacing w:line="360" w:lineRule="auto"/>
        <w:rPr>
          <w:rFonts w:hint="eastAsia" w:ascii="仿宋" w:hAnsi="仿宋" w:eastAsia="仿宋" w:cs="仿宋"/>
          <w:b/>
          <w:bCs/>
          <w:spacing w:val="0"/>
          <w:kern w:val="2"/>
          <w:sz w:val="24"/>
          <w:szCs w:val="24"/>
          <w:shd w:val="clear" w:fill="FFFFFF"/>
          <w:lang w:val="en-US" w:eastAsia="zh-CN" w:bidi="ar-SA"/>
        </w:rPr>
      </w:pPr>
      <w:r>
        <w:rPr>
          <w:rFonts w:hint="eastAsia" w:ascii="仿宋" w:hAnsi="仿宋" w:eastAsia="仿宋" w:cs="仿宋"/>
          <w:b/>
          <w:bCs/>
          <w:spacing w:val="0"/>
          <w:kern w:val="2"/>
          <w:sz w:val="24"/>
          <w:szCs w:val="24"/>
          <w:shd w:val="clear" w:fill="FFFFFF"/>
          <w:lang w:val="en-US" w:eastAsia="zh-CN" w:bidi="ar-SA"/>
        </w:rPr>
        <w:t>附件1：项目服务内容及技术参数要求</w:t>
      </w:r>
    </w:p>
    <w:p w14:paraId="7ABE6026">
      <w:pPr>
        <w:pStyle w:val="2"/>
        <w:pageBreakBefore w:val="0"/>
        <w:kinsoku/>
        <w:wordWrap/>
        <w:overflowPunct/>
        <w:topLinePunct w:val="0"/>
        <w:autoSpaceDE/>
        <w:autoSpaceDN/>
        <w:bidi w:val="0"/>
        <w:adjustRightInd/>
        <w:spacing w:before="0" w:after="0" w:line="360" w:lineRule="auto"/>
        <w:outlineLvl w:val="1"/>
        <w:rPr>
          <w:rFonts w:hint="eastAsia" w:ascii="仿宋" w:hAnsi="仿宋" w:eastAsia="仿宋" w:cs="仿宋"/>
          <w:b/>
          <w:bCs/>
          <w:color w:val="000000"/>
          <w:sz w:val="24"/>
          <w:szCs w:val="24"/>
          <w:highlight w:val="none"/>
          <w:lang w:val="en-US" w:eastAsia="zh-CN"/>
        </w:rPr>
      </w:pPr>
      <w:r>
        <w:rPr>
          <w:rFonts w:hint="eastAsia" w:ascii="仿宋" w:hAnsi="仿宋" w:eastAsia="仿宋" w:cs="仿宋"/>
          <w:b/>
          <w:bCs/>
          <w:color w:val="000000"/>
          <w:sz w:val="24"/>
          <w:szCs w:val="24"/>
          <w:highlight w:val="none"/>
          <w:lang w:val="en-US" w:eastAsia="zh-CN"/>
        </w:rPr>
        <w:t>一</w:t>
      </w:r>
      <w:r>
        <w:rPr>
          <w:rFonts w:hint="eastAsia" w:ascii="仿宋" w:hAnsi="仿宋" w:eastAsia="仿宋" w:cs="仿宋"/>
          <w:b/>
          <w:bCs/>
          <w:color w:val="000000"/>
          <w:sz w:val="24"/>
          <w:szCs w:val="24"/>
          <w:highlight w:val="none"/>
        </w:rPr>
        <w:t>、采购清单</w:t>
      </w:r>
      <w:r>
        <w:rPr>
          <w:rFonts w:hint="eastAsia" w:ascii="仿宋" w:hAnsi="仿宋" w:eastAsia="仿宋" w:cs="仿宋"/>
          <w:b/>
          <w:bCs/>
          <w:color w:val="000000"/>
          <w:sz w:val="24"/>
          <w:szCs w:val="24"/>
          <w:highlight w:val="none"/>
          <w:lang w:val="en-US" w:eastAsia="zh-CN"/>
        </w:rPr>
        <w:t>及技术参数要求</w:t>
      </w:r>
    </w:p>
    <w:p w14:paraId="7737CF02">
      <w:pPr>
        <w:widowControl w:val="0"/>
        <w:spacing w:line="360" w:lineRule="auto"/>
        <w:ind w:leftChars="0" w:firstLine="480" w:firstLineChars="200"/>
        <w:jc w:val="both"/>
        <w:rPr>
          <w:rFonts w:hint="eastAsia" w:ascii="仿宋" w:hAnsi="仿宋" w:eastAsia="仿宋" w:cs="仿宋"/>
          <w:spacing w:val="0"/>
          <w:kern w:val="2"/>
          <w:sz w:val="24"/>
          <w:szCs w:val="24"/>
          <w:shd w:val="clear" w:fill="FFFFFF"/>
          <w:lang w:val="en-US" w:eastAsia="zh-CN" w:bidi="ar-SA"/>
        </w:rPr>
      </w:pPr>
      <w:r>
        <w:rPr>
          <w:rFonts w:hint="eastAsia" w:ascii="仿宋" w:hAnsi="仿宋" w:eastAsia="仿宋" w:cs="仿宋"/>
          <w:spacing w:val="0"/>
          <w:kern w:val="2"/>
          <w:sz w:val="24"/>
          <w:szCs w:val="24"/>
          <w:shd w:val="clear" w:fill="FFFFFF"/>
          <w:lang w:val="en-US" w:eastAsia="zh-CN" w:bidi="ar-SA"/>
        </w:rPr>
        <w:t>（一）采购标的清单</w:t>
      </w:r>
    </w:p>
    <w:tbl>
      <w:tblPr>
        <w:tblStyle w:val="6"/>
        <w:tblW w:w="107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1439"/>
        <w:gridCol w:w="569"/>
        <w:gridCol w:w="569"/>
        <w:gridCol w:w="1305"/>
        <w:gridCol w:w="1305"/>
        <w:gridCol w:w="1035"/>
        <w:gridCol w:w="902"/>
        <w:gridCol w:w="1035"/>
        <w:gridCol w:w="1035"/>
        <w:gridCol w:w="970"/>
      </w:tblGrid>
      <w:tr w14:paraId="60C0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CCAAC52">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序号</w:t>
            </w:r>
          </w:p>
        </w:tc>
        <w:tc>
          <w:tcPr>
            <w:tcW w:w="1439" w:type="dxa"/>
            <w:tcBorders>
              <w:top w:val="single" w:color="auto" w:sz="4" w:space="0"/>
              <w:left w:val="single" w:color="auto" w:sz="4" w:space="0"/>
              <w:bottom w:val="single" w:color="auto" w:sz="4" w:space="0"/>
              <w:right w:val="single" w:color="auto" w:sz="4" w:space="0"/>
            </w:tcBorders>
            <w:noWrap w:val="0"/>
            <w:vAlign w:val="center"/>
          </w:tcPr>
          <w:p w14:paraId="64F90DED">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标的名称</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4CAC37A">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数量</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9731EA5">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单位</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8EE7AC9">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最高限价单价</w:t>
            </w:r>
          </w:p>
          <w:p w14:paraId="24A4E298">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（万元）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AF4F369">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最高限价总价</w:t>
            </w:r>
          </w:p>
          <w:p w14:paraId="582CD919">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（万元）</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0C552FFC">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是否为强制节能产品</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1752403">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是否为节能产品</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5610267C">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是否为环境标志产品</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D2DE7DD">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所属行业</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1F3B967">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质保期</w:t>
            </w:r>
          </w:p>
          <w:p w14:paraId="0E6B2F52">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bCs w:val="0"/>
                <w:color w:val="auto"/>
                <w:kern w:val="0"/>
                <w:sz w:val="24"/>
                <w:szCs w:val="24"/>
                <w:highlight w:val="none"/>
                <w:lang w:val="en-US" w:eastAsia="zh-CN" w:bidi="ar"/>
              </w:rPr>
            </w:pPr>
            <w:r>
              <w:rPr>
                <w:rFonts w:hint="eastAsia" w:ascii="仿宋" w:hAnsi="仿宋" w:eastAsia="仿宋" w:cs="仿宋"/>
                <w:b/>
                <w:bCs w:val="0"/>
                <w:color w:val="auto"/>
                <w:kern w:val="0"/>
                <w:sz w:val="24"/>
                <w:szCs w:val="24"/>
                <w:highlight w:val="none"/>
                <w:lang w:val="en-US" w:eastAsia="zh-CN" w:bidi="ar"/>
              </w:rPr>
              <w:t>(年)</w:t>
            </w:r>
          </w:p>
        </w:tc>
      </w:tr>
      <w:tr w14:paraId="28EF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569" w:type="dxa"/>
            <w:tcBorders>
              <w:top w:val="single" w:color="auto" w:sz="4" w:space="0"/>
              <w:left w:val="single" w:color="auto" w:sz="4" w:space="0"/>
              <w:bottom w:val="single" w:color="auto" w:sz="4" w:space="0"/>
              <w:right w:val="single" w:color="auto" w:sz="4" w:space="0"/>
            </w:tcBorders>
            <w:noWrap w:val="0"/>
            <w:vAlign w:val="center"/>
          </w:tcPr>
          <w:p w14:paraId="7A92B9D5">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1</w:t>
            </w:r>
          </w:p>
        </w:tc>
        <w:tc>
          <w:tcPr>
            <w:tcW w:w="1439" w:type="dxa"/>
            <w:tcBorders>
              <w:top w:val="single" w:color="auto" w:sz="4" w:space="0"/>
              <w:left w:val="single" w:color="auto" w:sz="4" w:space="0"/>
              <w:bottom w:val="single" w:color="auto" w:sz="4" w:space="0"/>
              <w:right w:val="single" w:color="auto" w:sz="4" w:space="0"/>
            </w:tcBorders>
            <w:noWrap w:val="0"/>
            <w:vAlign w:val="center"/>
          </w:tcPr>
          <w:p w14:paraId="0E0F51E2">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多通道核酸扩增检测分析仪</w:t>
            </w:r>
          </w:p>
        </w:tc>
        <w:tc>
          <w:tcPr>
            <w:tcW w:w="569" w:type="dxa"/>
            <w:tcBorders>
              <w:top w:val="single" w:color="auto" w:sz="4" w:space="0"/>
              <w:left w:val="single" w:color="auto" w:sz="4" w:space="0"/>
              <w:bottom w:val="single" w:color="auto" w:sz="4" w:space="0"/>
              <w:right w:val="single" w:color="auto" w:sz="4" w:space="0"/>
            </w:tcBorders>
            <w:noWrap w:val="0"/>
            <w:vAlign w:val="center"/>
          </w:tcPr>
          <w:p w14:paraId="065326A6">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1</w:t>
            </w:r>
          </w:p>
        </w:tc>
        <w:tc>
          <w:tcPr>
            <w:tcW w:w="569" w:type="dxa"/>
            <w:tcBorders>
              <w:top w:val="single" w:color="auto" w:sz="4" w:space="0"/>
              <w:left w:val="single" w:color="auto" w:sz="4" w:space="0"/>
              <w:bottom w:val="single" w:color="auto" w:sz="4" w:space="0"/>
              <w:right w:val="single" w:color="auto" w:sz="4" w:space="0"/>
            </w:tcBorders>
            <w:noWrap w:val="0"/>
            <w:vAlign w:val="center"/>
          </w:tcPr>
          <w:p w14:paraId="2F5912E5">
            <w:pPr>
              <w:widowControl/>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color w:val="auto"/>
                <w:kern w:val="0"/>
                <w:sz w:val="24"/>
                <w:szCs w:val="24"/>
                <w:highlight w:val="none"/>
                <w:lang w:val="en-US" w:eastAsia="zh-CN" w:bidi="ar"/>
              </w:rPr>
            </w:pPr>
            <w:r>
              <w:rPr>
                <w:rFonts w:hint="eastAsia" w:ascii="仿宋" w:hAnsi="仿宋" w:eastAsia="仿宋" w:cs="仿宋"/>
                <w:b w:val="0"/>
                <w:bCs w:val="0"/>
                <w:color w:val="auto"/>
                <w:kern w:val="0"/>
                <w:sz w:val="24"/>
                <w:szCs w:val="24"/>
                <w:highlight w:val="none"/>
                <w:lang w:val="en-US" w:eastAsia="zh-CN" w:bidi="ar"/>
              </w:rPr>
              <w:t>套</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6576EF0D">
            <w:pPr>
              <w:keepNext w:val="0"/>
              <w:keepLines w:val="0"/>
              <w:widowControl/>
              <w:suppressLineNumbers w:val="0"/>
              <w:tabs>
                <w:tab w:val="left" w:pos="0"/>
              </w:tabs>
              <w:snapToGrid w:val="0"/>
              <w:spacing w:line="240" w:lineRule="auto"/>
              <w:ind w:left="0" w:leftChars="0" w:right="0" w:rightChars="0" w:firstLine="0" w:firstLineChars="0"/>
              <w:jc w:val="right"/>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0.7</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4BDA897F">
            <w:pPr>
              <w:keepNext w:val="0"/>
              <w:keepLines w:val="0"/>
              <w:widowControl/>
              <w:suppressLineNumbers w:val="0"/>
              <w:tabs>
                <w:tab w:val="left" w:pos="0"/>
              </w:tabs>
              <w:snapToGrid w:val="0"/>
              <w:spacing w:line="240" w:lineRule="auto"/>
              <w:ind w:left="0" w:leftChars="0" w:right="0" w:rightChars="0" w:firstLine="0" w:firstLineChars="0"/>
              <w:jc w:val="right"/>
              <w:textAlignment w:val="center"/>
              <w:rPr>
                <w:rFonts w:hint="eastAsia" w:ascii="仿宋" w:hAnsi="仿宋" w:eastAsia="仿宋" w:cs="仿宋"/>
                <w:b w:val="0"/>
                <w:bCs w:val="0"/>
                <w:i w:val="0"/>
                <w:iCs w:val="0"/>
                <w:color w:val="000000"/>
                <w:kern w:val="0"/>
                <w:sz w:val="24"/>
                <w:szCs w:val="24"/>
                <w:u w:val="none"/>
                <w:lang w:val="en-US" w:eastAsia="zh-CN" w:bidi="ar"/>
              </w:rPr>
            </w:pPr>
            <w:r>
              <w:rPr>
                <w:rFonts w:hint="eastAsia" w:ascii="仿宋" w:hAnsi="仿宋" w:eastAsia="仿宋" w:cs="仿宋"/>
                <w:b w:val="0"/>
                <w:bCs w:val="0"/>
                <w:i w:val="0"/>
                <w:iCs w:val="0"/>
                <w:color w:val="000000"/>
                <w:kern w:val="0"/>
                <w:sz w:val="24"/>
                <w:szCs w:val="24"/>
                <w:u w:val="none"/>
                <w:lang w:val="en-US" w:eastAsia="zh-CN" w:bidi="ar"/>
              </w:rPr>
              <w:t>0.7</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77A7F2A6">
            <w:pPr>
              <w:keepNext w:val="0"/>
              <w:keepLines w:val="0"/>
              <w:widowControl/>
              <w:suppressLineNumbers w:val="0"/>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否</w:t>
            </w:r>
          </w:p>
        </w:tc>
        <w:tc>
          <w:tcPr>
            <w:tcW w:w="902" w:type="dxa"/>
            <w:tcBorders>
              <w:top w:val="single" w:color="auto" w:sz="4" w:space="0"/>
              <w:left w:val="single" w:color="auto" w:sz="4" w:space="0"/>
              <w:bottom w:val="single" w:color="auto" w:sz="4" w:space="0"/>
              <w:right w:val="single" w:color="auto" w:sz="4" w:space="0"/>
            </w:tcBorders>
            <w:noWrap w:val="0"/>
            <w:vAlign w:val="center"/>
          </w:tcPr>
          <w:p w14:paraId="3D4BC937">
            <w:pPr>
              <w:keepNext w:val="0"/>
              <w:keepLines w:val="0"/>
              <w:widowControl/>
              <w:suppressLineNumbers w:val="0"/>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否</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5F28FA82">
            <w:pPr>
              <w:keepNext w:val="0"/>
              <w:keepLines w:val="0"/>
              <w:widowControl/>
              <w:suppressLineNumbers w:val="0"/>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否</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04E1DEB7">
            <w:pPr>
              <w:keepNext w:val="0"/>
              <w:keepLines w:val="0"/>
              <w:widowControl/>
              <w:suppressLineNumbers w:val="0"/>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工业</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13D0C3E2">
            <w:pPr>
              <w:keepNext w:val="0"/>
              <w:keepLines w:val="0"/>
              <w:widowControl/>
              <w:suppressLineNumbers w:val="0"/>
              <w:tabs>
                <w:tab w:val="left" w:pos="0"/>
              </w:tabs>
              <w:snapToGrid w:val="0"/>
              <w:spacing w:line="240" w:lineRule="auto"/>
              <w:ind w:left="0" w:leftChars="0" w:right="0" w:rightChars="0" w:firstLine="0" w:firstLineChars="0"/>
              <w:jc w:val="center"/>
              <w:textAlignment w:val="center"/>
              <w:rPr>
                <w:rFonts w:hint="eastAsia" w:ascii="仿宋" w:hAnsi="仿宋" w:eastAsia="仿宋" w:cs="仿宋"/>
                <w:b w:val="0"/>
                <w:bCs w:val="0"/>
                <w:i w:val="0"/>
                <w:iCs w:val="0"/>
                <w:color w:val="auto"/>
                <w:kern w:val="0"/>
                <w:sz w:val="24"/>
                <w:szCs w:val="24"/>
                <w:u w:val="none"/>
                <w:lang w:val="en-US" w:eastAsia="zh-CN" w:bidi="ar"/>
              </w:rPr>
            </w:pPr>
            <w:r>
              <w:rPr>
                <w:rFonts w:hint="eastAsia" w:ascii="仿宋" w:hAnsi="仿宋" w:eastAsia="仿宋" w:cs="仿宋"/>
                <w:b w:val="0"/>
                <w:bCs w:val="0"/>
                <w:i w:val="0"/>
                <w:iCs w:val="0"/>
                <w:color w:val="auto"/>
                <w:kern w:val="0"/>
                <w:sz w:val="24"/>
                <w:szCs w:val="24"/>
                <w:u w:val="none"/>
                <w:lang w:val="en-US" w:eastAsia="zh-CN" w:bidi="ar"/>
              </w:rPr>
              <w:t>5年</w:t>
            </w:r>
          </w:p>
        </w:tc>
      </w:tr>
    </w:tbl>
    <w:p w14:paraId="10DADE10">
      <w:pPr>
        <w:keepNext/>
        <w:keepLines/>
        <w:pageBreakBefore w:val="0"/>
        <w:widowControl w:val="0"/>
        <w:numPr>
          <w:ilvl w:val="0"/>
          <w:numId w:val="0"/>
        </w:numPr>
        <w:tabs>
          <w:tab w:val="left" w:pos="0"/>
        </w:tabs>
        <w:kinsoku/>
        <w:wordWrap/>
        <w:overflowPunct/>
        <w:topLinePunct w:val="0"/>
        <w:autoSpaceDE/>
        <w:autoSpaceDN/>
        <w:bidi w:val="0"/>
        <w:adjustRightInd/>
        <w:snapToGrid/>
        <w:spacing w:before="0" w:after="0" w:line="360" w:lineRule="auto"/>
        <w:jc w:val="left"/>
        <w:textAlignment w:val="auto"/>
        <w:outlineLvl w:val="1"/>
        <w:rPr>
          <w:rFonts w:hint="eastAsia" w:ascii="仿宋" w:hAnsi="仿宋" w:eastAsia="仿宋" w:cs="仿宋"/>
          <w:b/>
          <w:bCs/>
          <w:color w:val="000000"/>
          <w:sz w:val="24"/>
          <w:szCs w:val="24"/>
          <w:highlight w:val="none"/>
          <w:lang w:eastAsia="zh-CN"/>
        </w:rPr>
      </w:pPr>
    </w:p>
    <w:p w14:paraId="507BA11C">
      <w:pPr>
        <w:keepNext/>
        <w:keepLines/>
        <w:pageBreakBefore w:val="0"/>
        <w:widowControl w:val="0"/>
        <w:numPr>
          <w:ilvl w:val="0"/>
          <w:numId w:val="2"/>
        </w:numPr>
        <w:tabs>
          <w:tab w:val="left" w:pos="0"/>
        </w:tabs>
        <w:kinsoku/>
        <w:wordWrap/>
        <w:overflowPunct/>
        <w:topLinePunct w:val="0"/>
        <w:autoSpaceDE/>
        <w:autoSpaceDN/>
        <w:bidi w:val="0"/>
        <w:adjustRightInd/>
        <w:snapToGrid/>
        <w:spacing w:before="0" w:after="0" w:line="360" w:lineRule="auto"/>
        <w:jc w:val="left"/>
        <w:textAlignment w:val="auto"/>
        <w:outlineLvl w:val="1"/>
        <w:rPr>
          <w:rFonts w:hint="eastAsia" w:ascii="仿宋" w:hAnsi="仿宋" w:eastAsia="仿宋" w:cs="仿宋"/>
          <w:b/>
          <w:bCs/>
          <w:color w:val="000000"/>
          <w:sz w:val="24"/>
          <w:szCs w:val="24"/>
          <w:highlight w:val="none"/>
          <w:lang w:eastAsia="zh-CN"/>
        </w:rPr>
      </w:pPr>
      <w:r>
        <w:rPr>
          <w:rFonts w:hint="eastAsia" w:ascii="仿宋" w:hAnsi="仿宋" w:eastAsia="仿宋" w:cs="仿宋"/>
          <w:b/>
          <w:bCs/>
          <w:color w:val="000000"/>
          <w:sz w:val="24"/>
          <w:szCs w:val="24"/>
          <w:highlight w:val="none"/>
        </w:rPr>
        <w:t>技术参数要求</w:t>
      </w:r>
    </w:p>
    <w:p w14:paraId="3F404F99">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1、检测原理：基于荧光聚合酶链式反应原理。</w:t>
      </w:r>
    </w:p>
    <w:p w14:paraId="36B04526">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2、单台设备检测通量：≥16（一体机，非矩阵级联）。</w:t>
      </w:r>
    </w:p>
    <w:p w14:paraId="2624CF74">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3、可适用多种样本类型（咽拭子、痰液、生殖道拭子、尿液）。</w:t>
      </w:r>
    </w:p>
    <w:p w14:paraId="43164940">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4、检测模式：仪器完成离心柱或磁珠法提取，核酸提取、扩增检测均在同一封闭试剂内完成；原始样本加样后上机至结果报告过程，无需任何手工操作。</w:t>
      </w:r>
    </w:p>
    <w:p w14:paraId="23DB0873">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5、检测时间：肺衣/肺支/合胞/百日咳检测时间＜30分钟。</w:t>
      </w:r>
    </w:p>
    <w:p w14:paraId="267EE10A">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6、检测模块：独立模块，每个检测孔可实现来样即测，不受批次影响，运行中可随时插入检测任务。</w:t>
      </w:r>
    </w:p>
    <w:p w14:paraId="5AB3C728">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仿宋" w:hAnsi="仿宋" w:eastAsia="仿宋" w:cs="仿宋"/>
          <w:b w:val="0"/>
          <w:bCs w:val="0"/>
          <w:color w:val="000000"/>
          <w:sz w:val="24"/>
          <w:szCs w:val="24"/>
          <w:highlight w:val="none"/>
          <w:lang w:val="en-US" w:eastAsia="zh-CN"/>
        </w:rPr>
        <w:t>7、同一台仪器上可支持多种病原体样本独立检测。</w:t>
      </w:r>
    </w:p>
    <w:p w14:paraId="732AABD5">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8、配套试剂能满足多种单个检测项目，至少能满足B族链球菌、EB病毒 、新冠、甲乙流、百日咳、肺炎支原体等核酸检测，同时能延申检测基孔肯雅热、登革热核酸。</w:t>
      </w:r>
      <w:bookmarkStart w:id="0" w:name="_GoBack"/>
      <w:bookmarkEnd w:id="0"/>
    </w:p>
    <w:p w14:paraId="317C67B8">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yellow"/>
          <w:lang w:val="en-US" w:eastAsia="zh-CN"/>
        </w:rPr>
      </w:pPr>
      <w:r>
        <w:rPr>
          <w:rFonts w:hint="eastAsia" w:ascii="仿宋" w:hAnsi="仿宋" w:eastAsia="仿宋" w:cs="仿宋"/>
          <w:b w:val="0"/>
          <w:bCs w:val="0"/>
          <w:color w:val="000000"/>
          <w:sz w:val="24"/>
          <w:szCs w:val="24"/>
          <w:highlight w:val="none"/>
          <w:lang w:val="en-US" w:eastAsia="zh-CN"/>
        </w:rPr>
        <w:t>9、可以拓展结核与非结核项目。</w:t>
      </w:r>
    </w:p>
    <w:p w14:paraId="3667627B">
      <w:pPr>
        <w:pageBreakBefore w:val="0"/>
        <w:tabs>
          <w:tab w:val="left" w:pos="0"/>
        </w:tabs>
        <w:kinsoku/>
        <w:wordWrap/>
        <w:overflowPunct/>
        <w:topLinePunct w:val="0"/>
        <w:autoSpaceDE/>
        <w:autoSpaceDN/>
        <w:bidi w:val="0"/>
        <w:adjustRightInd/>
        <w:spacing w:before="0" w:after="0" w:line="360" w:lineRule="auto"/>
        <w:ind w:left="0" w:firstLine="480" w:firstLineChars="200"/>
        <w:outlineLvl w:val="1"/>
        <w:rPr>
          <w:rFonts w:hint="eastAsia" w:ascii="仿宋" w:hAnsi="仿宋" w:eastAsia="仿宋" w:cs="仿宋"/>
          <w:b w:val="0"/>
          <w:bCs w:val="0"/>
          <w:color w:val="000000"/>
          <w:sz w:val="24"/>
          <w:szCs w:val="24"/>
          <w:highlight w:val="none"/>
          <w:lang w:val="en-US" w:eastAsia="zh-CN"/>
        </w:rPr>
      </w:pPr>
      <w:r>
        <w:rPr>
          <w:rFonts w:hint="eastAsia" w:ascii="微软雅黑" w:hAnsi="微软雅黑" w:eastAsia="微软雅黑" w:cs="微软雅黑"/>
          <w:b w:val="0"/>
          <w:bCs w:val="0"/>
          <w:color w:val="000000"/>
          <w:sz w:val="24"/>
          <w:szCs w:val="24"/>
          <w:highlight w:val="none"/>
          <w:lang w:val="en-US" w:eastAsia="zh-CN"/>
        </w:rPr>
        <w:t>★</w:t>
      </w:r>
      <w:r>
        <w:rPr>
          <w:rFonts w:hint="eastAsia" w:ascii="仿宋" w:hAnsi="仿宋" w:eastAsia="仿宋" w:cs="仿宋"/>
          <w:b w:val="0"/>
          <w:bCs w:val="0"/>
          <w:color w:val="000000"/>
          <w:sz w:val="24"/>
          <w:szCs w:val="24"/>
          <w:highlight w:val="none"/>
          <w:lang w:val="en-US" w:eastAsia="zh-CN"/>
        </w:rPr>
        <w:t>10.多通道核酸扩增检测分析仪需要和医院现有LIS系统实现无缝对接，接口费成交供应商承担。</w:t>
      </w:r>
    </w:p>
    <w:p w14:paraId="2E38C42F">
      <w:pPr>
        <w:keepNext/>
        <w:keepLines/>
        <w:pageBreakBefore w:val="0"/>
        <w:widowControl w:val="0"/>
        <w:tabs>
          <w:tab w:val="left" w:pos="0"/>
        </w:tabs>
        <w:kinsoku/>
        <w:wordWrap/>
        <w:overflowPunct/>
        <w:topLinePunct w:val="0"/>
        <w:autoSpaceDE/>
        <w:autoSpaceDN/>
        <w:bidi w:val="0"/>
        <w:adjustRightInd/>
        <w:snapToGrid w:val="0"/>
        <w:spacing w:before="0" w:after="0" w:line="360" w:lineRule="auto"/>
        <w:ind w:left="0" w:leftChars="0"/>
        <w:outlineLvl w:val="1"/>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二、服务要求（实质性要求）</w:t>
      </w:r>
    </w:p>
    <w:p w14:paraId="72C092CE">
      <w:pPr>
        <w:widowControl w:val="0"/>
        <w:tabs>
          <w:tab w:val="left" w:pos="0"/>
        </w:tabs>
        <w:wordWrap w:val="0"/>
        <w:topLinePunct/>
        <w:adjustRightInd w:val="0"/>
        <w:snapToGrid w:val="0"/>
        <w:spacing w:line="360" w:lineRule="auto"/>
        <w:ind w:leftChars="0" w:firstLine="480" w:firstLineChars="2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(一)供应商须提供全新的货物(含零部件、配件、使用说明书等)表面无划伤、无碰撞痕迹，且权属清楚，不得侵害他人的知识产权。</w:t>
      </w:r>
    </w:p>
    <w:p w14:paraId="47E88AE9">
      <w:pPr>
        <w:widowControl w:val="0"/>
        <w:tabs>
          <w:tab w:val="left" w:pos="0"/>
        </w:tabs>
        <w:wordWrap w:val="0"/>
        <w:topLinePunct/>
        <w:adjustRightInd w:val="0"/>
        <w:snapToGrid w:val="0"/>
        <w:spacing w:line="360" w:lineRule="auto"/>
        <w:ind w:left="0" w:leftChars="0" w:firstLine="480" w:firstLineChars="2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(二)货物必须符合或优于国家标准，以及本项目谈判文件及技术协议的质量要求和技术指标与出厂标准。</w:t>
      </w:r>
    </w:p>
    <w:p w14:paraId="16ACA7A8">
      <w:pPr>
        <w:widowControl w:val="0"/>
        <w:tabs>
          <w:tab w:val="left" w:pos="0"/>
        </w:tabs>
        <w:wordWrap w:val="0"/>
        <w:topLinePunct/>
        <w:adjustRightInd w:val="0"/>
        <w:snapToGrid w:val="0"/>
        <w:spacing w:line="360" w:lineRule="auto"/>
        <w:ind w:left="0" w:leftChars="0" w:firstLine="480" w:firstLineChars="2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(三)货物制造质量出现问题，供应商应负责三包(包修、包换、包退)，费用由供应商负担。</w:t>
      </w:r>
    </w:p>
    <w:p w14:paraId="11AE5DF0">
      <w:pPr>
        <w:widowControl w:val="0"/>
        <w:tabs>
          <w:tab w:val="left" w:pos="0"/>
        </w:tabs>
        <w:wordWrap w:val="0"/>
        <w:topLinePunct/>
        <w:adjustRightInd w:val="0"/>
        <w:snapToGrid w:val="0"/>
        <w:spacing w:line="360" w:lineRule="auto"/>
        <w:ind w:left="0" w:leftChars="0" w:firstLine="480" w:firstLineChars="2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(四)货到现场后由于采购人保管不当造成的质量问题，供应商亦应负责修理，但费用由采购人负担。</w:t>
      </w:r>
    </w:p>
    <w:p w14:paraId="20C2B531">
      <w:pPr>
        <w:widowControl w:val="0"/>
        <w:tabs>
          <w:tab w:val="left" w:pos="0"/>
        </w:tabs>
        <w:wordWrap w:val="0"/>
        <w:topLinePunct/>
        <w:adjustRightInd w:val="0"/>
        <w:snapToGrid w:val="0"/>
        <w:spacing w:line="360" w:lineRule="auto"/>
        <w:ind w:left="0" w:leftChars="0" w:firstLine="480" w:firstLineChars="200"/>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(五)供应商交货产品生产日期应在3个月以内。</w:t>
      </w:r>
    </w:p>
    <w:p w14:paraId="1FB9E8EE">
      <w:pPr>
        <w:pStyle w:val="2"/>
        <w:pageBreakBefore w:val="0"/>
        <w:bidi w:val="0"/>
        <w:spacing w:before="0" w:after="0" w:line="360" w:lineRule="auto"/>
        <w:ind w:left="0" w:leftChars="0" w:right="0"/>
        <w:textAlignment w:val="auto"/>
        <w:outlineLvl w:val="1"/>
        <w:rPr>
          <w:rFonts w:hint="eastAsia" w:ascii="仿宋" w:hAnsi="仿宋" w:eastAsia="仿宋" w:cs="仿宋"/>
          <w:b/>
          <w:bCs/>
          <w:color w:val="000000"/>
          <w:sz w:val="24"/>
          <w:szCs w:val="24"/>
          <w:highlight w:val="none"/>
        </w:rPr>
      </w:pPr>
      <w:r>
        <w:rPr>
          <w:rFonts w:hint="eastAsia" w:ascii="仿宋" w:hAnsi="仿宋" w:eastAsia="仿宋" w:cs="仿宋"/>
          <w:b/>
          <w:bCs/>
          <w:color w:val="000000"/>
          <w:sz w:val="24"/>
          <w:szCs w:val="24"/>
          <w:highlight w:val="none"/>
          <w:lang w:val="en-US" w:eastAsia="zh-CN"/>
        </w:rPr>
        <w:t>三、</w:t>
      </w:r>
      <w:r>
        <w:rPr>
          <w:rFonts w:hint="eastAsia" w:ascii="仿宋" w:hAnsi="仿宋" w:eastAsia="仿宋" w:cs="仿宋"/>
          <w:b/>
          <w:bCs/>
          <w:color w:val="000000"/>
          <w:sz w:val="24"/>
          <w:szCs w:val="24"/>
          <w:highlight w:val="none"/>
        </w:rPr>
        <w:t>商务要求（实质性要求）</w:t>
      </w:r>
    </w:p>
    <w:p w14:paraId="54634ED9">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（一）交货时间：采购合同签订生效后15个日历天内，完成交货、安装调试培训及试运行。</w:t>
      </w:r>
    </w:p>
    <w:p w14:paraId="6114A19C">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（二）交货地点：宜宾市第五人民医院。</w:t>
      </w:r>
    </w:p>
    <w:p w14:paraId="00B50553">
      <w:pPr>
        <w:pageBreakBefore w:val="0"/>
        <w:tabs>
          <w:tab w:val="left" w:pos="0"/>
        </w:tabs>
        <w:kinsoku/>
        <w:overflowPunct/>
        <w:autoSpaceDE w:val="0"/>
        <w:autoSpaceDN/>
        <w:bidi w:val="0"/>
        <w:spacing w:line="360" w:lineRule="auto"/>
        <w:ind w:left="0" w:leftChars="0" w:right="0" w:firstLine="480" w:firstLineChars="200"/>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（三）支付方式：分期付款。</w:t>
      </w:r>
    </w:p>
    <w:p w14:paraId="6D57B618">
      <w:pPr>
        <w:pageBreakBefore w:val="0"/>
        <w:tabs>
          <w:tab w:val="left" w:pos="0"/>
        </w:tabs>
        <w:kinsoku/>
        <w:overflowPunct/>
        <w:autoSpaceDE w:val="0"/>
        <w:autoSpaceDN/>
        <w:bidi w:val="0"/>
        <w:spacing w:line="360" w:lineRule="auto"/>
        <w:ind w:left="0" w:leftChars="0" w:right="0" w:firstLine="480" w:firstLineChars="200"/>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四）付款进度安排：合同签订后，设备安装验收合格后30日内支付合同总金额95%的款项，设备运行1年无质量问题支付合同总金额5%(成交供应商须向采购人出具合法有效完整的增值税发票及凭证资料进行支付结算)。</w:t>
      </w:r>
    </w:p>
    <w:p w14:paraId="4DBEC134">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（五）验收、交付标准和方法</w:t>
      </w:r>
    </w:p>
    <w:p w14:paraId="046C41FB">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1.验收组织方式：自行验收。</w:t>
      </w:r>
    </w:p>
    <w:p w14:paraId="70BE4608">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2.是否邀请本项目其他供应商：否；</w:t>
      </w:r>
    </w:p>
    <w:p w14:paraId="50F27C22">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3.是否邀请专家：否；</w:t>
      </w:r>
    </w:p>
    <w:p w14:paraId="3F6DC8AF">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4.是否邀请服务对象：否；</w:t>
      </w:r>
    </w:p>
    <w:p w14:paraId="0FA578C2">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5.是否邀请第三方检测机构：否；</w:t>
      </w:r>
    </w:p>
    <w:p w14:paraId="2A99118D">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6.验收程序：一次性验收；</w:t>
      </w:r>
    </w:p>
    <w:p w14:paraId="3F10869D">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7.验收时间：供应商提出验收申请之日起30日内组织验收。</w:t>
      </w:r>
    </w:p>
    <w:p w14:paraId="15F876E5">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8.技术验收内容：</w:t>
      </w:r>
    </w:p>
    <w:p w14:paraId="15B7BCB9">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a.产品：型号是否正确。</w:t>
      </w:r>
    </w:p>
    <w:p w14:paraId="619F878F">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b.功能：按照合同要求功能,检查功能是否达到要求。</w:t>
      </w:r>
    </w:p>
    <w:p w14:paraId="6B4A441F">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c.性能：按照合同性能要求,测试指标是否达到要求。</w:t>
      </w:r>
    </w:p>
    <w:p w14:paraId="35A454C2">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d.其它：竞争性谈判文件及成交供应商的响应文件的内容。</w:t>
      </w:r>
    </w:p>
    <w:p w14:paraId="358796ED">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9.商务验收内容：</w:t>
      </w:r>
    </w:p>
    <w:p w14:paraId="2157C915">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准确实现采购文件中的功能要求，可据采购人实际情况作相应调整，不能影响采购人生产系统正常运行，且使用部门签字为验收合格依据；</w:t>
      </w:r>
    </w:p>
    <w:p w14:paraId="4999EEF4">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10.验收标准</w:t>
      </w:r>
    </w:p>
    <w:p w14:paraId="398C588E">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按国家有关规定以及采购文件的质量要求和技术指标(包括每一项技术和商务要求的履约情况)、供应商的响应文件及承诺与本合同约定标准进行验收；合同双方如对质量要求和技术指标的约定标准有相互抵触或异议的事项，由采购人在国家有关规定、采购文件、响应文件及承诺与采购合同约定中按质量要求和技术指标比较优胜的原则确定该项的约定标准进行验收；</w:t>
      </w:r>
    </w:p>
    <w:p w14:paraId="429BB1EF">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11.履约验收其他事项</w:t>
      </w:r>
    </w:p>
    <w:p w14:paraId="5D1AEB9B">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其他未尽事宜应严格按照《财政部关于进一步加强政府采购需求和履约验收管理的指导意见》(财库〔2016〕205号)、《政府采购需求管理办法》((财库〔2021〕22 号)及采购文件相关规定组织验收。</w:t>
      </w:r>
    </w:p>
    <w:p w14:paraId="58DD0630">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（六）质量保修范围和保修期</w:t>
      </w:r>
    </w:p>
    <w:p w14:paraId="6BA1A8B4">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1.质保期：具体以“采购标的清单”中要求为准（质保期为设备安装验收合格之日起开始计算）。</w:t>
      </w:r>
    </w:p>
    <w:p w14:paraId="0E421F4B">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2.质保期内成交供应商负责所有因设备质量问题而产生的费用。质保期满前一个月，负责一次全面的检查、维护，并出具正式报告。如发现潜在问题，应负责排除，不收取任何费用。若采购人遇故障后求援，需要保证2小时内有专人回复。若维修工程电话不能解决故障，上门服务时间为8小时内。成交供应商按市场平均价打折提供各相应零配件及消耗性材料，并进行安装或补充。</w:t>
      </w:r>
    </w:p>
    <w:p w14:paraId="3E46801A">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yellow"/>
          <w:lang w:val="en-US" w:eastAsia="zh-CN" w:bidi="ar-SA"/>
        </w:rPr>
      </w:pPr>
      <w:r>
        <w:rPr>
          <w:rFonts w:hint="eastAsia" w:ascii="仿宋" w:hAnsi="仿宋" w:eastAsia="仿宋" w:cs="仿宋"/>
          <w:b w:val="0"/>
          <w:bCs w:val="0"/>
          <w:color w:val="000000"/>
          <w:kern w:val="2"/>
          <w:sz w:val="24"/>
          <w:szCs w:val="24"/>
          <w:highlight w:val="none"/>
          <w:lang w:val="en-US" w:eastAsia="zh-CN" w:bidi="ar-SA"/>
        </w:rPr>
        <w:t>3.质保期内出现质量问题，如货物经成交供应商3次维修仍不能达到本合同约定的质量标准，视作未能按时交货，采购人有权要求成交供应商更换全新货物。货到现场后由于采购人保管不当造成的问题，成交供应商亦应负责修复，但费用由采购人负担。质保期外的质量问题，双方协商解决。</w:t>
      </w:r>
    </w:p>
    <w:p w14:paraId="139AF891">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4.成交供应商需保证全部设备的各种部件均保证齐备、充足供应，若因设备升级更新等原因不能保障供应造成采购人损失的，成交供应商承担全部赔偿责任，在交货时需向采购人提供设备常规备品备件。</w:t>
      </w:r>
    </w:p>
    <w:p w14:paraId="02BC04CA">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（七）违约责任与解决争议的方法</w:t>
      </w:r>
    </w:p>
    <w:p w14:paraId="6504C60C">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1.采购人违约责任：</w:t>
      </w:r>
    </w:p>
    <w:p w14:paraId="3D4FC547">
      <w:pPr>
        <w:keepNext w:val="0"/>
        <w:keepLines w:val="0"/>
        <w:pageBreakBefore w:val="0"/>
        <w:widowControl w:val="0"/>
        <w:tabs>
          <w:tab w:val="left" w:pos="0"/>
        </w:tabs>
        <w:kinsoku w:val="0"/>
        <w:wordWrap/>
        <w:overflowPunct w:val="0"/>
        <w:topLinePunct w:val="0"/>
        <w:autoSpaceDE/>
        <w:autoSpaceDN/>
        <w:bidi w:val="0"/>
        <w:adjustRightInd/>
        <w:snapToGrid/>
        <w:spacing w:after="0" w:line="360" w:lineRule="auto"/>
        <w:ind w:left="0" w:leftChars="0" w:right="0" w:firstLine="482"/>
        <w:jc w:val="both"/>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（1）采购人逾期支付货款的，除应及时付足货款外，应向成交供应商偿付欠款总额万分之一/天的违约金；逾期付款超过90天的，成交供应商有权终止合同。</w:t>
      </w:r>
    </w:p>
    <w:p w14:paraId="5D069AED">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2.成交供应商违约责任</w:t>
      </w:r>
    </w:p>
    <w:p w14:paraId="525111AB">
      <w:pPr>
        <w:keepNext w:val="0"/>
        <w:keepLines w:val="0"/>
        <w:pageBreakBefore w:val="0"/>
        <w:widowControl w:val="0"/>
        <w:numPr>
          <w:ilvl w:val="0"/>
          <w:numId w:val="0"/>
        </w:numPr>
        <w:tabs>
          <w:tab w:val="left" w:pos="0"/>
        </w:tabs>
        <w:kinsoku w:val="0"/>
        <w:wordWrap/>
        <w:overflowPunct w:val="0"/>
        <w:topLinePunct w:val="0"/>
        <w:autoSpaceDE w:val="0"/>
        <w:autoSpaceDN w:val="0"/>
        <w:bidi w:val="0"/>
        <w:adjustRightInd w:val="0"/>
        <w:snapToGrid w:val="0"/>
        <w:spacing w:after="0" w:line="360" w:lineRule="auto"/>
        <w:ind w:left="0" w:leftChars="0" w:right="0" w:firstLine="480" w:firstLineChars="200"/>
        <w:jc w:val="both"/>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 xml:space="preserve">（1）成交供应商交付的货物质量不符合合同规定的，成交供应商应向采购人支付合同总价的百分之五的违约金，并须在合同规定的交货时间内更换合格的货物给采购人，否则，视作成交供应商不能交付货物而违约，按本条本款下述第“（2）”项规定由成交供应商偿付违约金给采购人。 </w:t>
      </w:r>
    </w:p>
    <w:p w14:paraId="61DFF36C">
      <w:pPr>
        <w:keepNext w:val="0"/>
        <w:keepLines w:val="0"/>
        <w:pageBreakBefore w:val="0"/>
        <w:widowControl w:val="0"/>
        <w:numPr>
          <w:ilvl w:val="0"/>
          <w:numId w:val="0"/>
        </w:numPr>
        <w:tabs>
          <w:tab w:val="left" w:pos="0"/>
        </w:tabs>
        <w:kinsoku w:val="0"/>
        <w:wordWrap/>
        <w:overflowPunct w:val="0"/>
        <w:topLinePunct w:val="0"/>
        <w:autoSpaceDE w:val="0"/>
        <w:autoSpaceDN w:val="0"/>
        <w:bidi w:val="0"/>
        <w:adjustRightInd w:val="0"/>
        <w:snapToGrid w:val="0"/>
        <w:spacing w:after="0" w:line="360" w:lineRule="auto"/>
        <w:ind w:left="0" w:leftChars="0" w:right="0" w:firstLine="480" w:firstLineChars="200"/>
        <w:jc w:val="both"/>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 xml:space="preserve">（2）成交供应商不能交付货物或逾期交付货物而违约的，除应及时交足货物外，应向采购人偿付逾期交货部分货款总额的万分之十/天的违约金；逾期交货超过10天，采购人有权终止合同，成交供应商则应按合同总价的百分之十的款额向采购人偿付违约金，并须全额退还采购人已经付给乙方的货款及其利息。 </w:t>
      </w:r>
    </w:p>
    <w:p w14:paraId="093BED9C">
      <w:pPr>
        <w:keepNext w:val="0"/>
        <w:keepLines w:val="0"/>
        <w:pageBreakBefore w:val="0"/>
        <w:widowControl w:val="0"/>
        <w:numPr>
          <w:ilvl w:val="0"/>
          <w:numId w:val="0"/>
        </w:numPr>
        <w:tabs>
          <w:tab w:val="left" w:pos="0"/>
        </w:tabs>
        <w:kinsoku w:val="0"/>
        <w:wordWrap/>
        <w:overflowPunct w:val="0"/>
        <w:topLinePunct w:val="0"/>
        <w:autoSpaceDE w:val="0"/>
        <w:autoSpaceDN w:val="0"/>
        <w:bidi w:val="0"/>
        <w:adjustRightInd w:val="0"/>
        <w:snapToGrid w:val="0"/>
        <w:spacing w:after="0" w:line="360" w:lineRule="auto"/>
        <w:ind w:left="0" w:leftChars="0" w:right="0" w:firstLine="480" w:firstLineChars="200"/>
        <w:jc w:val="both"/>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 xml:space="preserve">（3）成交供应商货物经采购人方送交具有法定资格条件的质量技术监督机构检测后，如检测结果认定货物质量不符合本合同规定标准的，则视为成交供应商没有按时交货而违约，成交供应商须在7天内无条件更换合格的货物，如逾期不能更换合格的货物，采购人有权终止本合同，成交供应商应另付合同总价的百分之十的违约金给采购人，除此之外还应承担包括但不限于采购货物的损失、检测费用、运输费用等费用 。 </w:t>
      </w:r>
    </w:p>
    <w:p w14:paraId="1CA9F3A8">
      <w:pPr>
        <w:keepNext w:val="0"/>
        <w:keepLines w:val="0"/>
        <w:pageBreakBefore w:val="0"/>
        <w:widowControl w:val="0"/>
        <w:numPr>
          <w:ilvl w:val="0"/>
          <w:numId w:val="0"/>
        </w:numPr>
        <w:tabs>
          <w:tab w:val="left" w:pos="0"/>
        </w:tabs>
        <w:kinsoku w:val="0"/>
        <w:wordWrap/>
        <w:overflowPunct w:val="0"/>
        <w:topLinePunct w:val="0"/>
        <w:autoSpaceDE w:val="0"/>
        <w:autoSpaceDN w:val="0"/>
        <w:bidi w:val="0"/>
        <w:adjustRightInd w:val="0"/>
        <w:snapToGrid w:val="0"/>
        <w:spacing w:after="0" w:line="360" w:lineRule="auto"/>
        <w:ind w:left="0" w:leftChars="0" w:right="0" w:firstLine="480" w:firstLineChars="200"/>
        <w:jc w:val="both"/>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 xml:space="preserve">（4）成交供应商保证本合同货物的权利无瑕疵，包括货物所有权及知识产权等权利无瑕疵。如任何第三方经法院（或仲裁机构）裁决有权对上述货物主张权利或国家机关依法对货物进行没收查处的，成交供应商除应向采购人返还已收款项外，还应另按合同总价的百分之十向采购人支付违约金。 </w:t>
      </w:r>
    </w:p>
    <w:p w14:paraId="79364BFD">
      <w:pPr>
        <w:keepNext w:val="0"/>
        <w:keepLines w:val="0"/>
        <w:pageBreakBefore w:val="0"/>
        <w:widowControl w:val="0"/>
        <w:numPr>
          <w:ilvl w:val="0"/>
          <w:numId w:val="0"/>
        </w:numPr>
        <w:tabs>
          <w:tab w:val="left" w:pos="0"/>
        </w:tabs>
        <w:kinsoku w:val="0"/>
        <w:wordWrap/>
        <w:overflowPunct w:val="0"/>
        <w:topLinePunct w:val="0"/>
        <w:autoSpaceDE w:val="0"/>
        <w:autoSpaceDN w:val="0"/>
        <w:bidi w:val="0"/>
        <w:adjustRightInd w:val="0"/>
        <w:snapToGrid w:val="0"/>
        <w:spacing w:after="0" w:line="360" w:lineRule="auto"/>
        <w:ind w:left="0" w:leftChars="0" w:right="0" w:firstLine="480" w:firstLineChars="200"/>
        <w:jc w:val="both"/>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 xml:space="preserve">（5）成交供应商偿付的违约金不足以弥补采购人损失的，还应按采购人损失尚未弥补的部分，支付给采购人。 </w:t>
      </w:r>
    </w:p>
    <w:p w14:paraId="1B319FDC">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（6）如因</w:t>
      </w:r>
      <w:r>
        <w:rPr>
          <w:rFonts w:hint="eastAsia" w:ascii="仿宋" w:hAnsi="仿宋" w:eastAsia="仿宋" w:cs="仿宋"/>
          <w:b w:val="0"/>
          <w:bCs w:val="0"/>
          <w:color w:val="000000"/>
          <w:kern w:val="2"/>
          <w:sz w:val="24"/>
          <w:szCs w:val="24"/>
          <w:highlight w:val="none"/>
          <w:lang w:val="en-US" w:eastAsia="zh-CN" w:bidi="ar-SA"/>
        </w:rPr>
        <w:t>成交供应商</w:t>
      </w:r>
      <w:r>
        <w:rPr>
          <w:rFonts w:hint="eastAsia" w:ascii="仿宋" w:hAnsi="仿宋" w:eastAsia="仿宋" w:cs="仿宋"/>
          <w:b w:val="0"/>
          <w:bCs w:val="0"/>
          <w:color w:val="000000"/>
          <w:kern w:val="0"/>
          <w:sz w:val="24"/>
          <w:szCs w:val="24"/>
          <w:highlight w:val="none"/>
          <w:lang w:val="en-US" w:eastAsia="zh-CN" w:bidi="ar"/>
        </w:rPr>
        <w:t>工作人员在履行职务过程中的疏忽、失职、过错等故意或者过失原因给采购人造成损失或侵害，包括但不限于采购人本身的财产损失、由此而导致的采购人对任何第三方的法律责任等，</w:t>
      </w:r>
      <w:r>
        <w:rPr>
          <w:rFonts w:hint="eastAsia" w:ascii="仿宋" w:hAnsi="仿宋" w:eastAsia="仿宋" w:cs="仿宋"/>
          <w:b w:val="0"/>
          <w:bCs w:val="0"/>
          <w:color w:val="000000"/>
          <w:kern w:val="2"/>
          <w:sz w:val="24"/>
          <w:szCs w:val="24"/>
          <w:highlight w:val="none"/>
          <w:lang w:val="en-US" w:eastAsia="zh-CN" w:bidi="ar-SA"/>
        </w:rPr>
        <w:t>成交供应商</w:t>
      </w:r>
      <w:r>
        <w:rPr>
          <w:rFonts w:hint="eastAsia" w:ascii="仿宋" w:hAnsi="仿宋" w:eastAsia="仿宋" w:cs="仿宋"/>
          <w:b w:val="0"/>
          <w:bCs w:val="0"/>
          <w:color w:val="000000"/>
          <w:kern w:val="0"/>
          <w:sz w:val="24"/>
          <w:szCs w:val="24"/>
          <w:highlight w:val="none"/>
          <w:lang w:val="en-US" w:eastAsia="zh-CN" w:bidi="ar"/>
        </w:rPr>
        <w:t>对此均应承担全部的赔偿责任。</w:t>
      </w:r>
    </w:p>
    <w:p w14:paraId="5C7A439D">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（7）合同履行期间，若双方发生争议，可协商或由有关部门调解解决，协商或调解不成的，向采购人所在地人民法院起诉。</w:t>
      </w:r>
    </w:p>
    <w:p w14:paraId="2F155751">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（八）包装方式及运输</w:t>
      </w:r>
    </w:p>
    <w:p w14:paraId="0E5AAA55">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1.成交供应商须严格按照《商品包装政府采购需求标准(试行)》、《快递包装政府采购需求标准(试行)》(财办库〔2020〕123号)的要求进行产品及相关快递服务的包装。</w:t>
      </w:r>
    </w:p>
    <w:p w14:paraId="491B6A82">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2.成交供应商应当按照约定的方式交付标的物。对于包装方式没有约定或者约定不明确的，应当按照通用的方式包装；没有通用方式的，应当采取足以保护标的物且有利于节约资源，保护生态环境的包装方式。</w:t>
      </w:r>
    </w:p>
    <w:p w14:paraId="2E93C698">
      <w:pPr>
        <w:keepNext w:val="0"/>
        <w:keepLines w:val="0"/>
        <w:pageBreakBefore w:val="0"/>
        <w:widowControl/>
        <w:suppressLineNumbers w:val="0"/>
        <w:tabs>
          <w:tab w:val="left" w:pos="0"/>
        </w:tabs>
        <w:kinsoku/>
        <w:wordWrap/>
        <w:overflowPunct/>
        <w:topLinePunct w:val="0"/>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3.本次采购的标的物需要运输，成交供应商在合同约定的时间内将标的物运输至合同约定地点。成交供应商自行运输标的物或委托承运人运输的，其损毁、灭失的风险自合同成立时起由成交供应商承担。</w:t>
      </w:r>
    </w:p>
    <w:p w14:paraId="1D32277D">
      <w:pPr>
        <w:widowControl w:val="0"/>
        <w:tabs>
          <w:tab w:val="left" w:pos="0"/>
        </w:tabs>
        <w:wordWrap w:val="0"/>
        <w:topLinePunct/>
        <w:adjustRightInd w:val="0"/>
        <w:snapToGrid w:val="0"/>
        <w:spacing w:line="360" w:lineRule="auto"/>
        <w:ind w:left="0" w:leftChars="0" w:firstLine="480" w:firstLineChars="200"/>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4.成交供应商按照约定将标的物运送至采购人指定地点并完成交付的或采购人违反约定不予收取的，标的物损毁、灭失的风险由采购人承担。</w:t>
      </w:r>
    </w:p>
    <w:p w14:paraId="4A1B6B13">
      <w:pPr>
        <w:keepNext/>
        <w:keepLines/>
        <w:pageBreakBefore w:val="0"/>
        <w:widowControl w:val="0"/>
        <w:numPr>
          <w:ilvl w:val="0"/>
          <w:numId w:val="0"/>
        </w:numPr>
        <w:tabs>
          <w:tab w:val="left" w:pos="0"/>
        </w:tabs>
        <w:kinsoku/>
        <w:wordWrap/>
        <w:overflowPunct/>
        <w:topLinePunct w:val="0"/>
        <w:autoSpaceDE/>
        <w:autoSpaceDN/>
        <w:bidi w:val="0"/>
        <w:adjustRightInd/>
        <w:spacing w:before="0" w:after="0" w:line="360" w:lineRule="auto"/>
        <w:ind w:left="0"/>
        <w:jc w:val="both"/>
        <w:textAlignment w:val="auto"/>
        <w:outlineLvl w:val="1"/>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四、其他要求</w:t>
      </w:r>
    </w:p>
    <w:p w14:paraId="7ED2DA08">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（一）国家或行业主管部门对采购产品的技术标准、质量标准和资格资质条件等有强制性规定的，供应商响应产品必须符合其要求。</w:t>
      </w:r>
    </w:p>
    <w:p w14:paraId="4CE0C05B">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（二）履约保证金：本项目不收取。</w:t>
      </w:r>
    </w:p>
    <w:p w14:paraId="1155D1A5">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三）培训要求：供应商负责对采购人技术人员进行现场培训，培训内容包括设备的性能、操作、保养和维护等。安装调试达到采购人可独立使用，并在培训后提供使用咨询，每年不得少于2次巡检，定期维护终身维修等。</w:t>
      </w:r>
    </w:p>
    <w:p w14:paraId="5A5EC77E">
      <w:pPr>
        <w:pStyle w:val="9"/>
        <w:spacing w:line="360" w:lineRule="auto"/>
        <w:ind w:firstLine="480" w:firstLineChars="200"/>
        <w:jc w:val="both"/>
        <w:rPr>
          <w:rFonts w:hint="eastAsia" w:ascii="仿宋" w:hAnsi="仿宋" w:eastAsia="仿宋" w:cs="仿宋"/>
          <w:b w:val="0"/>
          <w:bCs w:val="0"/>
          <w:color w:val="auto"/>
          <w:sz w:val="24"/>
          <w:szCs w:val="24"/>
          <w:highlight w:val="none"/>
          <w:lang w:val="zh-CN"/>
        </w:rPr>
      </w:pPr>
      <w:r>
        <w:rPr>
          <w:rFonts w:hint="eastAsia" w:ascii="微软雅黑" w:hAnsi="微软雅黑" w:eastAsia="微软雅黑" w:cs="微软雅黑"/>
          <w:b w:val="0"/>
          <w:bCs w:val="0"/>
          <w:color w:val="000000"/>
          <w:kern w:val="2"/>
          <w:sz w:val="24"/>
          <w:szCs w:val="24"/>
          <w:highlight w:val="none"/>
          <w:lang w:val="en-US" w:eastAsia="zh-CN" w:bidi="ar-SA"/>
        </w:rPr>
        <w:t>★</w:t>
      </w:r>
      <w:r>
        <w:rPr>
          <w:rFonts w:hint="eastAsia" w:ascii="仿宋" w:hAnsi="仿宋" w:eastAsia="仿宋" w:cs="仿宋"/>
          <w:b w:val="0"/>
          <w:bCs w:val="0"/>
          <w:color w:val="000000"/>
          <w:kern w:val="2"/>
          <w:sz w:val="24"/>
          <w:szCs w:val="24"/>
          <w:highlight w:val="none"/>
          <w:lang w:val="en-US" w:eastAsia="zh-CN" w:bidi="ar-SA"/>
        </w:rPr>
        <w:t>（四）</w:t>
      </w:r>
      <w:r>
        <w:rPr>
          <w:rFonts w:hint="eastAsia" w:ascii="仿宋" w:hAnsi="仿宋" w:eastAsia="仿宋" w:cs="仿宋"/>
          <w:b w:val="0"/>
          <w:bCs w:val="0"/>
          <w:color w:val="auto"/>
          <w:sz w:val="24"/>
          <w:szCs w:val="24"/>
          <w:highlight w:val="none"/>
          <w:lang w:val="zh-CN"/>
        </w:rPr>
        <w:t>低于成本价不正当竞争预防措施：响应报价不得低于本项目最高限价的50%。若供应商响应报价低于项目最高限价的 50%，供应商须提供本项目具体成本测算及报价合理性书面说明和必要证明材料，包括但不限于原材料成本、人工成本、制造费用、管理费用、税费等相关资料，证明报价不存在低于成本恶性竞争。（证明材料须加盖供应商公章，随响应文件一并提交；未按要求提供的，</w:t>
      </w:r>
      <w:r>
        <w:rPr>
          <w:rFonts w:hint="eastAsia" w:ascii="仿宋" w:hAnsi="仿宋" w:eastAsia="仿宋" w:cs="仿宋"/>
          <w:b w:val="0"/>
          <w:bCs w:val="0"/>
          <w:color w:val="auto"/>
          <w:sz w:val="24"/>
          <w:szCs w:val="24"/>
          <w:highlight w:val="none"/>
          <w:lang w:val="en-US" w:eastAsia="zh-CN"/>
        </w:rPr>
        <w:t>询价</w:t>
      </w:r>
      <w:r>
        <w:rPr>
          <w:rFonts w:hint="eastAsia" w:ascii="仿宋" w:hAnsi="仿宋" w:eastAsia="仿宋" w:cs="仿宋"/>
          <w:b w:val="0"/>
          <w:bCs w:val="0"/>
          <w:color w:val="auto"/>
          <w:sz w:val="24"/>
          <w:szCs w:val="24"/>
          <w:highlight w:val="none"/>
          <w:lang w:val="zh-CN"/>
        </w:rPr>
        <w:t>小组有权对其响应作无效响应处理）</w:t>
      </w:r>
    </w:p>
    <w:p w14:paraId="589BDC64">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（五）保险</w:t>
      </w:r>
    </w:p>
    <w:p w14:paraId="299AEFFE">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供应商应当遵守国家有关消防、安全、生产操作、劳动保护等方面的规定，并根据自身实际情况和项目履约实际情况，购买涉及上述履约风险的对应保险，保险金额以抵消可能发生的事故因其发生所造成的财产、人身损失承担赔偿保险金责任，维护保险标的的安全。</w:t>
      </w:r>
    </w:p>
    <w:p w14:paraId="576F0BFE">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2.供应商应为本项目提供履约的所有人员按照国家规定购买相关保险。</w:t>
      </w:r>
    </w:p>
    <w:p w14:paraId="12F91236">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3.供应商自行运输标的物或委托承运人运输的，应为该批货物购买货物运输保险及运输工具航程保险。</w:t>
      </w:r>
    </w:p>
    <w:p w14:paraId="7247AFC4">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2"/>
          <w:sz w:val="24"/>
          <w:szCs w:val="24"/>
          <w:highlight w:val="none"/>
          <w:lang w:val="en-US" w:eastAsia="zh-CN" w:bidi="ar-SA"/>
        </w:rPr>
        <w:t>（六）</w:t>
      </w:r>
      <w:r>
        <w:rPr>
          <w:rFonts w:hint="eastAsia" w:ascii="仿宋" w:hAnsi="仿宋" w:eastAsia="仿宋" w:cs="仿宋"/>
          <w:b w:val="0"/>
          <w:bCs w:val="0"/>
          <w:color w:val="000000"/>
          <w:kern w:val="0"/>
          <w:sz w:val="24"/>
          <w:szCs w:val="24"/>
          <w:highlight w:val="none"/>
          <w:lang w:val="en-US" w:eastAsia="zh-CN" w:bidi="ar"/>
        </w:rPr>
        <w:t>风险处置措施和替代方案</w:t>
      </w:r>
    </w:p>
    <w:p w14:paraId="287A321B">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2"/>
          <w:sz w:val="24"/>
          <w:szCs w:val="24"/>
          <w:highlight w:val="none"/>
          <w:lang w:val="en-US" w:eastAsia="zh-CN" w:bidi="ar-SA"/>
        </w:rPr>
        <w:t>本项目采购过程和合同履行过程中的风险严格按照采购人的风险控制管理要求执行除不可抗力以外（如：国家政策变化导致资金预算调整，或继续履约有可能影响国家利益等），本项目严格按照合同执行，如有违约，按合同违约条款处理；本项目无替代方案</w:t>
      </w:r>
      <w:r>
        <w:rPr>
          <w:rFonts w:hint="eastAsia" w:ascii="仿宋" w:hAnsi="仿宋" w:eastAsia="仿宋" w:cs="仿宋"/>
          <w:b w:val="0"/>
          <w:bCs w:val="0"/>
          <w:color w:val="000000"/>
          <w:kern w:val="0"/>
          <w:sz w:val="24"/>
          <w:szCs w:val="24"/>
          <w:highlight w:val="none"/>
          <w:lang w:val="en-US" w:eastAsia="zh-CN" w:bidi="ar"/>
        </w:rPr>
        <w:t>。</w:t>
      </w:r>
    </w:p>
    <w:p w14:paraId="436294E7">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（七）知识产权</w:t>
      </w:r>
    </w:p>
    <w:p w14:paraId="4FDBCCD0">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1.供应商应保证在本项目中使用的任何技术、产品和服务（包括部分使用），不会产生因第三方提出侵犯其专利权、商标权或其它知识产权而引起的法律和经济纠纷，如存在前述情形，由供应商承担所有相关责任，并且赔偿由此给采购人带来的损失。采购人享有本项目实施过程中产生的知识成果及知识产权。</w:t>
      </w:r>
    </w:p>
    <w:p w14:paraId="15D90BC3">
      <w:pPr>
        <w:keepNext w:val="0"/>
        <w:keepLines w:val="0"/>
        <w:pageBreakBefore w:val="0"/>
        <w:widowControl/>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2.供应商将在采购项目实施过程中采用自有或者第三方知识成果的，使用该知识成果后，供应商需提供开发接口和开发手册等技术资料，并承诺提供无限期支持，采购人享有使用权（含采购人委托第三方在该项目后续开发的使用权）。</w:t>
      </w:r>
    </w:p>
    <w:p w14:paraId="157CCF17">
      <w:pPr>
        <w:keepNext w:val="0"/>
        <w:keepLines w:val="0"/>
        <w:pageBreakBefore w:val="0"/>
        <w:widowControl/>
        <w:suppressLineNumbers w:val="0"/>
        <w:tabs>
          <w:tab w:val="left" w:pos="0"/>
        </w:tabs>
        <w:kinsoku/>
        <w:wordWrap/>
        <w:overflowPunct/>
        <w:topLinePunct w:val="0"/>
        <w:autoSpaceDE/>
        <w:autoSpaceDN/>
        <w:bidi w:val="0"/>
        <w:adjustRightIn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3.如使用供应商所不拥有的知识产权，则在报价中必须包括合法使用该知识产权的相关费用。</w:t>
      </w:r>
    </w:p>
    <w:p w14:paraId="1F8A04FB">
      <w:pPr>
        <w:keepNext w:val="0"/>
        <w:keepLines w:val="0"/>
        <w:pageBreakBefore w:val="0"/>
        <w:widowControl/>
        <w:suppressLineNumbers w:val="0"/>
        <w:tabs>
          <w:tab w:val="left" w:pos="0"/>
        </w:tabs>
        <w:kinsoku/>
        <w:wordWrap/>
        <w:overflowPunct/>
        <w:topLinePunct w:val="0"/>
        <w:autoSpaceDE/>
        <w:autoSpaceDN/>
        <w:bidi w:val="0"/>
        <w:adjustRightInd/>
        <w:spacing w:before="0" w:beforeAutospacing="0" w:after="0" w:afterAutospacing="0" w:line="360" w:lineRule="auto"/>
        <w:ind w:left="0" w:leftChars="0" w:right="0" w:rightChars="0" w:firstLine="480" w:firstLineChars="200"/>
        <w:jc w:val="left"/>
        <w:textAlignment w:val="auto"/>
        <w:rPr>
          <w:rFonts w:hint="eastAsia" w:ascii="仿宋" w:hAnsi="仿宋" w:eastAsia="仿宋" w:cs="仿宋"/>
          <w:b w:val="0"/>
          <w:bCs w:val="0"/>
          <w:color w:val="000000"/>
          <w:kern w:val="2"/>
          <w:sz w:val="24"/>
          <w:szCs w:val="24"/>
          <w:highlight w:val="none"/>
          <w:lang w:val="en-US" w:eastAsia="zh-CN" w:bidi="ar-SA"/>
        </w:rPr>
      </w:pPr>
      <w:r>
        <w:rPr>
          <w:rFonts w:hint="eastAsia" w:ascii="仿宋" w:hAnsi="仿宋" w:eastAsia="仿宋" w:cs="仿宋"/>
          <w:b w:val="0"/>
          <w:bCs w:val="0"/>
          <w:color w:val="000000"/>
          <w:kern w:val="2"/>
          <w:sz w:val="24"/>
          <w:szCs w:val="24"/>
          <w:highlight w:val="none"/>
          <w:lang w:val="en-US" w:eastAsia="zh-CN" w:bidi="ar-SA"/>
        </w:rPr>
        <w:t>（八）其他要求</w:t>
      </w:r>
    </w:p>
    <w:p w14:paraId="4C257B39">
      <w:pPr>
        <w:keepNext w:val="0"/>
        <w:keepLines w:val="0"/>
        <w:pageBreakBefore w:val="0"/>
        <w:widowControl/>
        <w:suppressLineNumbers w:val="0"/>
        <w:tabs>
          <w:tab w:val="left" w:pos="0"/>
        </w:tabs>
        <w:kinsoku/>
        <w:wordWrap/>
        <w:overflowPunct/>
        <w:topLinePunct w:val="0"/>
        <w:autoSpaceDE/>
        <w:autoSpaceDN/>
        <w:bidi w:val="0"/>
        <w:adjustRightInd/>
        <w:spacing w:before="0" w:beforeAutospacing="0" w:after="0" w:afterAutospacing="0" w:line="360" w:lineRule="auto"/>
        <w:ind w:left="0" w:leftChars="0" w:right="0" w:rightChars="0" w:firstLine="482" w:firstLineChars="200"/>
        <w:jc w:val="left"/>
        <w:textAlignment w:val="auto"/>
        <w:rPr>
          <w:rFonts w:hint="eastAsia" w:ascii="仿宋" w:hAnsi="仿宋" w:eastAsia="仿宋" w:cs="仿宋"/>
          <w:b/>
          <w:bCs/>
          <w:color w:val="FF0000"/>
          <w:kern w:val="2"/>
          <w:sz w:val="24"/>
          <w:szCs w:val="24"/>
          <w:highlight w:val="none"/>
          <w:lang w:val="en-US" w:eastAsia="zh-CN" w:bidi="ar-SA"/>
        </w:rPr>
      </w:pPr>
      <w:r>
        <w:rPr>
          <w:rFonts w:hint="eastAsia" w:ascii="仿宋" w:hAnsi="仿宋" w:eastAsia="仿宋" w:cs="仿宋"/>
          <w:b/>
          <w:bCs/>
          <w:color w:val="FF0000"/>
          <w:kern w:val="2"/>
          <w:sz w:val="24"/>
          <w:szCs w:val="24"/>
          <w:highlight w:val="none"/>
          <w:lang w:val="en-US" w:eastAsia="zh-CN" w:bidi="ar-SA"/>
        </w:rPr>
        <w:t>供应商提供的产品中涉及需使用耗材的，还需明确是否为专机专用，如为专机专用的需提供证明材料。</w:t>
      </w:r>
    </w:p>
    <w:p w14:paraId="0896CDCB">
      <w:pPr>
        <w:keepNext/>
        <w:keepLines/>
        <w:pageBreakBefore w:val="0"/>
        <w:widowControl w:val="0"/>
        <w:numPr>
          <w:ilvl w:val="0"/>
          <w:numId w:val="0"/>
        </w:numPr>
        <w:tabs>
          <w:tab w:val="left" w:pos="0"/>
        </w:tabs>
        <w:kinsoku/>
        <w:wordWrap/>
        <w:overflowPunct/>
        <w:topLinePunct w:val="0"/>
        <w:autoSpaceDE/>
        <w:autoSpaceDN/>
        <w:bidi w:val="0"/>
        <w:adjustRightInd/>
        <w:spacing w:before="0" w:after="0" w:line="360" w:lineRule="auto"/>
        <w:ind w:left="0"/>
        <w:jc w:val="both"/>
        <w:textAlignment w:val="auto"/>
        <w:outlineLvl w:val="1"/>
        <w:rPr>
          <w:rFonts w:hint="eastAsia" w:ascii="仿宋" w:hAnsi="仿宋" w:eastAsia="仿宋" w:cs="仿宋"/>
          <w:b/>
          <w:bCs/>
          <w:color w:val="000000"/>
          <w:kern w:val="2"/>
          <w:sz w:val="24"/>
          <w:szCs w:val="24"/>
          <w:highlight w:val="none"/>
          <w:lang w:val="en-US" w:eastAsia="zh-CN" w:bidi="ar-SA"/>
        </w:rPr>
      </w:pPr>
      <w:r>
        <w:rPr>
          <w:rFonts w:hint="eastAsia" w:ascii="仿宋" w:hAnsi="仿宋" w:eastAsia="仿宋" w:cs="仿宋"/>
          <w:b/>
          <w:bCs/>
          <w:color w:val="000000"/>
          <w:kern w:val="2"/>
          <w:sz w:val="24"/>
          <w:szCs w:val="24"/>
          <w:highlight w:val="none"/>
          <w:lang w:val="en-US" w:eastAsia="zh-CN" w:bidi="ar-SA"/>
        </w:rPr>
        <w:t>五、供应商资格条件</w:t>
      </w:r>
    </w:p>
    <w:p w14:paraId="0FF00FAE">
      <w:pPr>
        <w:pageBreakBefore w:val="0"/>
        <w:tabs>
          <w:tab w:val="left" w:pos="0"/>
        </w:tabs>
        <w:kinsoku/>
        <w:wordWrap/>
        <w:overflowPunct/>
        <w:topLinePunct w:val="0"/>
        <w:autoSpaceDE/>
        <w:autoSpaceDN/>
        <w:bidi w:val="0"/>
        <w:adjustRightInd/>
        <w:spacing w:line="360" w:lineRule="auto"/>
        <w:ind w:left="0" w:firstLine="42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（一）具备《中华人民共和国政府采购法》第二十二条的相关规定：</w:t>
      </w:r>
    </w:p>
    <w:p w14:paraId="7FAFC9C3">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1.具有独立承担民事责任的能力；</w:t>
      </w:r>
    </w:p>
    <w:p w14:paraId="0CB489E9">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2.具有良好的商业信誉和健全的财务会计制度；</w:t>
      </w:r>
    </w:p>
    <w:p w14:paraId="0775EBA8">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3.具有履行合同所必需的设备和专业技术能力；</w:t>
      </w:r>
    </w:p>
    <w:p w14:paraId="5AAC1A92">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4.有依法缴纳税收和社会保障资金的良好记录；</w:t>
      </w:r>
    </w:p>
    <w:p w14:paraId="7B34CAFF">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5.参加政府采购活动前三年内，在经营活动中没有重大违法记录；</w:t>
      </w:r>
    </w:p>
    <w:p w14:paraId="01C4E277">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6.法律、行政法规规定的其他条件。</w:t>
      </w:r>
    </w:p>
    <w:p w14:paraId="051DB5A8">
      <w:pPr>
        <w:pageBreakBefore w:val="0"/>
        <w:tabs>
          <w:tab w:val="left" w:pos="0"/>
        </w:tabs>
        <w:kinsoku/>
        <w:wordWrap/>
        <w:overflowPunct/>
        <w:topLinePunct w:val="0"/>
        <w:autoSpaceDE/>
        <w:autoSpaceDN/>
        <w:bidi w:val="0"/>
        <w:adjustRightInd/>
        <w:spacing w:line="360" w:lineRule="auto"/>
        <w:ind w:left="0" w:firstLine="42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rPr>
        <w:t>（二）其他类似效力要求</w:t>
      </w:r>
    </w:p>
    <w:p w14:paraId="3B93EE3B">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lang w:val="en-US" w:eastAsia="zh-CN"/>
        </w:rPr>
        <w:t>1</w:t>
      </w:r>
      <w:r>
        <w:rPr>
          <w:rFonts w:hint="eastAsia" w:ascii="仿宋" w:hAnsi="仿宋" w:eastAsia="仿宋" w:cs="仿宋"/>
          <w:b w:val="0"/>
          <w:bCs w:val="0"/>
          <w:color w:val="000000"/>
          <w:sz w:val="24"/>
          <w:szCs w:val="24"/>
          <w:highlight w:val="none"/>
        </w:rPr>
        <w:t>.供应商与其他供应商之间，单位负责人不为同一人而且不存在直接控股、管理关系。</w:t>
      </w:r>
    </w:p>
    <w:p w14:paraId="5614979F">
      <w:pPr>
        <w:pageBreakBefore w:val="0"/>
        <w:tabs>
          <w:tab w:val="left" w:pos="0"/>
        </w:tabs>
        <w:kinsoku/>
        <w:wordWrap/>
        <w:overflowPunct/>
        <w:topLinePunct w:val="0"/>
        <w:autoSpaceDE/>
        <w:autoSpaceDN/>
        <w:bidi w:val="0"/>
        <w:adjustRightInd/>
        <w:spacing w:line="360" w:lineRule="auto"/>
        <w:ind w:left="0" w:firstLine="480" w:firstLineChars="200"/>
        <w:textAlignment w:val="auto"/>
        <w:rPr>
          <w:rFonts w:hint="eastAsia" w:ascii="仿宋" w:hAnsi="仿宋" w:eastAsia="仿宋" w:cs="仿宋"/>
          <w:b w:val="0"/>
          <w:bCs w:val="0"/>
          <w:color w:val="000000"/>
          <w:sz w:val="24"/>
          <w:szCs w:val="24"/>
          <w:highlight w:val="none"/>
        </w:rPr>
      </w:pPr>
      <w:r>
        <w:rPr>
          <w:rFonts w:hint="eastAsia" w:ascii="仿宋" w:hAnsi="仿宋" w:eastAsia="仿宋" w:cs="仿宋"/>
          <w:b w:val="0"/>
          <w:bCs w:val="0"/>
          <w:color w:val="000000"/>
          <w:sz w:val="24"/>
          <w:szCs w:val="24"/>
          <w:highlight w:val="none"/>
          <w:lang w:val="en-US" w:eastAsia="zh-CN"/>
        </w:rPr>
        <w:t>2</w:t>
      </w:r>
      <w:r>
        <w:rPr>
          <w:rFonts w:hint="eastAsia" w:ascii="仿宋" w:hAnsi="仿宋" w:eastAsia="仿宋" w:cs="仿宋"/>
          <w:b w:val="0"/>
          <w:bCs w:val="0"/>
          <w:color w:val="000000"/>
          <w:sz w:val="24"/>
          <w:szCs w:val="24"/>
          <w:highlight w:val="none"/>
        </w:rPr>
        <w:t>.本项目不接受联合体响应。</w:t>
      </w:r>
    </w:p>
    <w:p w14:paraId="2D2FE5AB">
      <w:pPr>
        <w:numPr>
          <w:ilvl w:val="0"/>
          <w:numId w:val="0"/>
        </w:numPr>
        <w:tabs>
          <w:tab w:val="left" w:pos="0"/>
        </w:tabs>
        <w:spacing w:line="360" w:lineRule="auto"/>
        <w:ind w:firstLine="480" w:firstLineChars="200"/>
        <w:rPr>
          <w:rFonts w:hint="eastAsia" w:ascii="仿宋" w:hAnsi="仿宋" w:eastAsia="仿宋" w:cs="仿宋"/>
          <w:b w:val="0"/>
          <w:bCs w:val="0"/>
          <w:color w:val="000000"/>
          <w:sz w:val="24"/>
          <w:szCs w:val="24"/>
          <w:highlight w:val="none"/>
          <w:lang w:val="zh-CN"/>
        </w:rPr>
      </w:pPr>
      <w:r>
        <w:rPr>
          <w:rFonts w:hint="eastAsia" w:ascii="仿宋" w:hAnsi="仿宋" w:eastAsia="仿宋" w:cs="仿宋"/>
          <w:b w:val="0"/>
          <w:bCs w:val="0"/>
          <w:color w:val="000000"/>
          <w:sz w:val="24"/>
          <w:szCs w:val="24"/>
          <w:highlight w:val="none"/>
        </w:rPr>
        <w:t>（三）根据采购项目提出的特殊条件：</w:t>
      </w:r>
      <w:r>
        <w:rPr>
          <w:rFonts w:hint="eastAsia" w:ascii="仿宋" w:hAnsi="仿宋" w:eastAsia="仿宋" w:cs="仿宋"/>
          <w:b w:val="0"/>
          <w:bCs w:val="0"/>
          <w:color w:val="000000"/>
          <w:sz w:val="24"/>
          <w:szCs w:val="24"/>
          <w:highlight w:val="none"/>
          <w:lang w:val="en-US" w:eastAsia="zh-CN"/>
        </w:rPr>
        <w:t>采购标的为医疗器械的</w:t>
      </w:r>
      <w:r>
        <w:rPr>
          <w:rFonts w:hint="eastAsia" w:ascii="仿宋" w:hAnsi="仿宋" w:eastAsia="仿宋" w:cs="仿宋"/>
          <w:b w:val="0"/>
          <w:bCs w:val="0"/>
          <w:color w:val="000000"/>
          <w:sz w:val="24"/>
          <w:szCs w:val="24"/>
          <w:highlight w:val="none"/>
        </w:rPr>
        <w:t>，响应产品须符合《医疗器械注册与备案管理办法》要求并提供齐全有效的中华人民共和国医疗器械注册证</w:t>
      </w:r>
      <w:r>
        <w:rPr>
          <w:rFonts w:hint="eastAsia" w:ascii="仿宋" w:hAnsi="仿宋" w:eastAsia="仿宋" w:cs="仿宋"/>
          <w:b w:val="0"/>
          <w:bCs w:val="0"/>
          <w:color w:val="000000"/>
          <w:sz w:val="24"/>
          <w:szCs w:val="24"/>
          <w:highlight w:val="none"/>
          <w:lang w:val="en-US" w:eastAsia="zh-CN"/>
        </w:rPr>
        <w:t>复印件</w:t>
      </w:r>
      <w:r>
        <w:rPr>
          <w:rFonts w:hint="eastAsia" w:ascii="仿宋" w:hAnsi="仿宋" w:eastAsia="仿宋" w:cs="仿宋"/>
          <w:b w:val="0"/>
          <w:bCs w:val="0"/>
          <w:color w:val="000000"/>
          <w:sz w:val="24"/>
          <w:szCs w:val="24"/>
          <w:highlight w:val="none"/>
        </w:rPr>
        <w:t>或备案凭证</w:t>
      </w:r>
      <w:r>
        <w:rPr>
          <w:rFonts w:hint="eastAsia" w:ascii="仿宋" w:hAnsi="仿宋" w:eastAsia="仿宋" w:cs="仿宋"/>
          <w:b w:val="0"/>
          <w:bCs w:val="0"/>
          <w:color w:val="000000"/>
          <w:sz w:val="24"/>
          <w:szCs w:val="24"/>
          <w:highlight w:val="none"/>
          <w:lang w:val="en-US" w:eastAsia="zh-CN"/>
        </w:rPr>
        <w:t>复印件</w:t>
      </w:r>
      <w:r>
        <w:rPr>
          <w:rFonts w:hint="eastAsia" w:ascii="仿宋" w:hAnsi="仿宋" w:eastAsia="仿宋" w:cs="仿宋"/>
          <w:b w:val="0"/>
          <w:bCs w:val="0"/>
          <w:color w:val="000000"/>
          <w:sz w:val="24"/>
          <w:szCs w:val="24"/>
          <w:highlight w:val="none"/>
        </w:rPr>
        <w:t>；供应商须符合《医疗器械监督管理条例》要求并提供相关医疗器械生产(或经营)许可证</w:t>
      </w:r>
      <w:r>
        <w:rPr>
          <w:rFonts w:hint="eastAsia" w:ascii="仿宋" w:hAnsi="仿宋" w:eastAsia="仿宋" w:cs="仿宋"/>
          <w:b w:val="0"/>
          <w:bCs w:val="0"/>
          <w:color w:val="000000"/>
          <w:sz w:val="24"/>
          <w:szCs w:val="24"/>
          <w:highlight w:val="none"/>
          <w:lang w:val="en-US" w:eastAsia="zh-CN"/>
        </w:rPr>
        <w:t>复印件</w:t>
      </w:r>
      <w:r>
        <w:rPr>
          <w:rFonts w:hint="eastAsia" w:ascii="仿宋" w:hAnsi="仿宋" w:eastAsia="仿宋" w:cs="仿宋"/>
          <w:b w:val="0"/>
          <w:bCs w:val="0"/>
          <w:color w:val="000000"/>
          <w:sz w:val="24"/>
          <w:szCs w:val="24"/>
          <w:highlight w:val="none"/>
        </w:rPr>
        <w:t>或第二类医疗器械经营备案凭证</w:t>
      </w:r>
      <w:r>
        <w:rPr>
          <w:rFonts w:hint="eastAsia" w:ascii="仿宋" w:hAnsi="仿宋" w:eastAsia="仿宋" w:cs="仿宋"/>
          <w:b w:val="0"/>
          <w:bCs w:val="0"/>
          <w:color w:val="000000"/>
          <w:sz w:val="24"/>
          <w:szCs w:val="24"/>
          <w:highlight w:val="none"/>
          <w:lang w:val="en-US" w:eastAsia="zh-CN"/>
        </w:rPr>
        <w:t>复印件</w:t>
      </w:r>
      <w:r>
        <w:rPr>
          <w:rFonts w:hint="eastAsia" w:ascii="仿宋" w:hAnsi="仿宋" w:eastAsia="仿宋" w:cs="仿宋"/>
          <w:b w:val="0"/>
          <w:bCs w:val="0"/>
          <w:color w:val="000000"/>
          <w:sz w:val="24"/>
          <w:szCs w:val="24"/>
          <w:highlight w:val="none"/>
        </w:rPr>
        <w:t>(已提供包含二类备案的多证合一营业执照的供应商除外)</w:t>
      </w:r>
      <w:r>
        <w:rPr>
          <w:rFonts w:hint="eastAsia" w:ascii="仿宋" w:hAnsi="仿宋" w:eastAsia="仿宋" w:cs="仿宋"/>
          <w:b w:val="0"/>
          <w:bCs w:val="0"/>
          <w:color w:val="000000"/>
          <w:sz w:val="24"/>
          <w:szCs w:val="24"/>
          <w:highlight w:val="none"/>
          <w:lang w:val="zh-CN"/>
        </w:rPr>
        <w:t>。</w:t>
      </w:r>
    </w:p>
    <w:p w14:paraId="719E3D75">
      <w:pPr>
        <w:pageBreakBefore w:val="0"/>
        <w:tabs>
          <w:tab w:val="left" w:pos="0"/>
        </w:tabs>
        <w:kinsoku/>
        <w:wordWrap/>
        <w:overflowPunct/>
        <w:topLinePunct w:val="0"/>
        <w:autoSpaceDE/>
        <w:autoSpaceDN/>
        <w:bidi w:val="0"/>
        <w:adjustRightInd/>
        <w:spacing w:line="360" w:lineRule="auto"/>
        <w:ind w:left="0" w:firstLine="420"/>
        <w:textAlignment w:val="auto"/>
        <w:rPr>
          <w:rFonts w:hint="eastAsia" w:ascii="仿宋" w:hAnsi="仿宋" w:eastAsia="仿宋" w:cs="仿宋"/>
          <w:b w:val="0"/>
          <w:bCs w:val="0"/>
          <w:color w:val="000000"/>
          <w:sz w:val="24"/>
          <w:szCs w:val="24"/>
          <w:highlight w:val="none"/>
          <w:lang w:val="en-US" w:eastAsia="zh-CN"/>
        </w:rPr>
      </w:pPr>
    </w:p>
    <w:p w14:paraId="5E00612C">
      <w:pPr>
        <w:spacing w:line="360" w:lineRule="auto"/>
        <w:rPr>
          <w:rFonts w:hint="eastAsia" w:ascii="仿宋" w:hAnsi="仿宋" w:eastAsia="仿宋" w:cs="仿宋"/>
          <w:b/>
          <w:bCs/>
          <w:spacing w:val="0"/>
          <w:kern w:val="2"/>
          <w:sz w:val="24"/>
          <w:szCs w:val="24"/>
          <w:shd w:val="clear" w:fill="FFFFFF"/>
          <w:lang w:val="en-US" w:eastAsia="zh-CN" w:bidi="ar-SA"/>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D6FA">
    <w:pPr>
      <w:pStyle w:val="4"/>
      <w:tabs>
        <w:tab w:val="center" w:pos="4153"/>
        <w:tab w:val="right" w:pos="8306"/>
        <w:tab w:val="clear" w:pos="0"/>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D92AE">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0D92AE">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9A1F">
    <w:pPr>
      <w:pStyle w:val="5"/>
      <w:pBdr>
        <w:bottom w:val="none" w:color="auto" w:sz="0" w:space="1"/>
      </w:pBdr>
      <w:tabs>
        <w:tab w:val="center" w:pos="4153"/>
        <w:tab w:val="right" w:pos="8306"/>
        <w:tab w:val="clear" w:pos="0"/>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8"/>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0BF75C62"/>
    <w:multiLevelType w:val="singleLevel"/>
    <w:tmpl w:val="0BF75C62"/>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0C05F0"/>
    <w:rsid w:val="07341F05"/>
    <w:rsid w:val="08856DEC"/>
    <w:rsid w:val="0FAC4C5F"/>
    <w:rsid w:val="1427405E"/>
    <w:rsid w:val="14EF1D47"/>
    <w:rsid w:val="19BD53D0"/>
    <w:rsid w:val="1E3E3BA9"/>
    <w:rsid w:val="2CEE7A36"/>
    <w:rsid w:val="33FB413B"/>
    <w:rsid w:val="354532C6"/>
    <w:rsid w:val="36BA2A3B"/>
    <w:rsid w:val="3D890013"/>
    <w:rsid w:val="3E0768F2"/>
    <w:rsid w:val="43012E33"/>
    <w:rsid w:val="49E35145"/>
    <w:rsid w:val="4A4F7560"/>
    <w:rsid w:val="4DFE15C5"/>
    <w:rsid w:val="5A507A44"/>
    <w:rsid w:val="6377539F"/>
    <w:rsid w:val="65CC350D"/>
    <w:rsid w:val="6C792BC7"/>
    <w:rsid w:val="6DE035C6"/>
    <w:rsid w:val="72561292"/>
    <w:rsid w:val="730B69EF"/>
    <w:rsid w:val="733A1083"/>
    <w:rsid w:val="782C7228"/>
    <w:rsid w:val="7A3507F6"/>
    <w:rsid w:val="7AB95F5F"/>
    <w:rsid w:val="7F322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tabs>
        <w:tab w:val="left" w:pos="0"/>
      </w:tabs>
      <w:spacing w:line="500" w:lineRule="exact"/>
      <w:outlineLvl w:val="1"/>
    </w:pPr>
    <w:rPr>
      <w:rFonts w:ascii="Arial" w:hAnsi="Arial" w:eastAsia="黑体"/>
      <w:b/>
      <w:sz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left" w:pos="0"/>
      </w:tabs>
      <w:spacing w:line="240" w:lineRule="auto"/>
    </w:pPr>
    <w:rPr>
      <w:sz w:val="18"/>
      <w:szCs w:val="18"/>
    </w:rPr>
  </w:style>
  <w:style w:type="paragraph" w:styleId="5">
    <w:name w:val="header"/>
    <w:basedOn w:val="1"/>
    <w:next w:val="1"/>
    <w:qFormat/>
    <w:uiPriority w:val="0"/>
    <w:pPr>
      <w:pBdr>
        <w:bottom w:val="single" w:color="auto" w:sz="6" w:space="1"/>
      </w:pBdr>
      <w:tabs>
        <w:tab w:val="left" w:pos="0"/>
      </w:tabs>
      <w:wordWrap w:val="0"/>
      <w:topLinePunct/>
      <w:spacing w:line="240" w:lineRule="auto"/>
      <w:jc w:val="center"/>
    </w:pPr>
    <w:rPr>
      <w:sz w:val="18"/>
      <w:szCs w:val="18"/>
    </w:rPr>
  </w:style>
  <w:style w:type="paragraph" w:customStyle="1" w:styleId="8">
    <w:name w:val="15、“一、”二级标题"/>
    <w:basedOn w:val="1"/>
    <w:autoRedefine/>
    <w:qFormat/>
    <w:uiPriority w:val="0"/>
    <w:pPr>
      <w:numPr>
        <w:ilvl w:val="1"/>
        <w:numId w:val="1"/>
      </w:numPr>
      <w:tabs>
        <w:tab w:val="left" w:pos="0"/>
      </w:tabs>
      <w:wordWrap w:val="0"/>
      <w:topLinePunct/>
      <w:ind w:firstLine="803" w:firstLineChars="200"/>
      <w:outlineLvl w:val="1"/>
    </w:pPr>
    <w:rPr>
      <w:b/>
    </w:rPr>
  </w:style>
  <w:style w:type="paragraph" w:customStyle="1" w:styleId="9">
    <w:name w:val="13、表格内居中正文"/>
    <w:basedOn w:val="1"/>
    <w:autoRedefine/>
    <w:qFormat/>
    <w:uiPriority w:val="0"/>
    <w:pPr>
      <w:tabs>
        <w:tab w:val="left" w:pos="0"/>
      </w:tabs>
      <w:wordWrap w:val="0"/>
      <w:topLinePunct/>
      <w:spacing w:line="360" w:lineRule="exact"/>
      <w:jc w:val="center"/>
    </w:pPr>
    <w:rPr>
      <w:sz w:val="21"/>
    </w:rPr>
  </w:style>
  <w:style w:type="paragraph" w:customStyle="1" w:styleId="10">
    <w:name w:val="12、表格内左对齐正文"/>
    <w:basedOn w:val="1"/>
    <w:autoRedefine/>
    <w:qFormat/>
    <w:uiPriority w:val="0"/>
    <w:pPr>
      <w:tabs>
        <w:tab w:val="left" w:pos="0"/>
      </w:tabs>
      <w:wordWrap w:val="0"/>
      <w:topLinePunct/>
      <w:spacing w:line="360" w:lineRule="exact"/>
      <w:ind w:left="48" w:leftChars="20"/>
    </w:pPr>
    <w:rPr>
      <w:snapToGrid w:val="0"/>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683</Words>
  <Characters>694</Characters>
  <Lines>0</Lines>
  <Paragraphs>0</Paragraphs>
  <TotalTime>2</TotalTime>
  <ScaleCrop>false</ScaleCrop>
  <LinksUpToDate>false</LinksUpToDate>
  <CharactersWithSpaces>695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2026-10-08T00:28:00Z</dcterms:created>
  <dc:creator>asus</dc:creator>
  <cp:lastModifiedBy>小果汁</cp:lastModifiedBy>
  <dcterms:modified xsi:type="dcterms:W3CDTF">2026-10-09T00:46:10Z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eyJoZGlkIjoiN2RiMWE4MDVhYmZlYzU3ZTlkODY2ZTJkNGUyYTAzNGYiLCJ1c2VySWQiOiIxOTA5OTg5NTU1In0=</vt:lpwstr>
  </property>
  <property fmtid="{D5CDD505-2E9C-101B-9397-08002B2CF9AE}" pid="4" name="ICV">
    <vt:lpwstr>B9508FF68D34475590CBC686A8FFCF52_13</vt:lpwstr>
  </property>
</Properties>
</file>