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95B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0" w:firstLineChars="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附件1：项目服务内容及技术参数要求</w:t>
      </w:r>
    </w:p>
    <w:p w14:paraId="2CC5F7F8">
      <w:pPr>
        <w:pStyle w:val="10"/>
        <w:numPr>
          <w:ilvl w:val="0"/>
          <w:numId w:val="0"/>
        </w:numPr>
        <w:spacing w:before="120" w:after="120"/>
        <w:ind w:leftChars="0"/>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采购项目技术、服务、合同内容条款及商务要求</w:t>
      </w:r>
    </w:p>
    <w:p w14:paraId="788C4879">
      <w:pPr>
        <w:pStyle w:val="12"/>
        <w:numPr>
          <w:ilvl w:val="0"/>
          <w:numId w:val="2"/>
        </w:numPr>
        <w:spacing w:line="360" w:lineRule="auto"/>
        <w:ind w:firstLineChars="0"/>
        <w:rPr>
          <w:rFonts w:hint="eastAsia" w:ascii="仿宋" w:hAnsi="仿宋" w:eastAsia="仿宋" w:cs="仿宋"/>
          <w:b/>
          <w:bCs/>
          <w:color w:val="auto"/>
          <w:sz w:val="24"/>
          <w:szCs w:val="24"/>
          <w:highlight w:val="none"/>
        </w:rPr>
      </w:pPr>
      <w:bookmarkStart w:id="0" w:name="_Hlt101846155"/>
      <w:bookmarkEnd w:id="0"/>
      <w:bookmarkStart w:id="1" w:name="_Toc461401724"/>
      <w:bookmarkStart w:id="2" w:name="_Toc25540"/>
      <w:bookmarkStart w:id="3" w:name="_Toc6793"/>
      <w:bookmarkStart w:id="4" w:name="_Toc16943"/>
      <w:bookmarkStart w:id="5" w:name="_Toc16562"/>
      <w:r>
        <w:rPr>
          <w:rFonts w:hint="eastAsia" w:ascii="仿宋" w:hAnsi="仿宋" w:eastAsia="仿宋" w:cs="仿宋"/>
          <w:b/>
          <w:bCs/>
          <w:color w:val="auto"/>
          <w:sz w:val="24"/>
          <w:szCs w:val="24"/>
          <w:highlight w:val="none"/>
        </w:rPr>
        <w:t>项目概述</w:t>
      </w:r>
      <w:bookmarkEnd w:id="1"/>
      <w:bookmarkEnd w:id="2"/>
      <w:bookmarkEnd w:id="3"/>
      <w:bookmarkEnd w:id="4"/>
      <w:bookmarkEnd w:id="5"/>
    </w:p>
    <w:p w14:paraId="20A57D3E">
      <w:pPr>
        <w:pStyle w:val="3"/>
        <w:pageBreakBefore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color w:val="000000"/>
          <w:sz w:val="24"/>
          <w:szCs w:val="24"/>
          <w:highlight w:val="yellow"/>
        </w:rPr>
      </w:pPr>
      <w:bookmarkStart w:id="6" w:name="_Toc6628"/>
      <w:r>
        <w:rPr>
          <w:rFonts w:hint="eastAsia" w:ascii="仿宋" w:hAnsi="仿宋" w:eastAsia="仿宋"/>
          <w:color w:val="auto"/>
          <w:sz w:val="24"/>
          <w:szCs w:val="28"/>
          <w:highlight w:val="none"/>
          <w:lang w:val="en-US" w:eastAsia="zh-CN"/>
        </w:rPr>
        <w:t>本项目共1个包，为采购宜宾市南溪区裴石街道社区卫生服务中心2026年医疗责任保险服务，采购预算为1.32万元。</w:t>
      </w:r>
    </w:p>
    <w:bookmarkEnd w:id="6"/>
    <w:p w14:paraId="6018750E">
      <w:pPr>
        <w:keepNext/>
        <w:keepLines/>
        <w:pageBreakBefore w:val="0"/>
        <w:widowControl w:val="0"/>
        <w:numPr>
          <w:ilvl w:val="0"/>
          <w:numId w:val="0"/>
        </w:numPr>
        <w:tabs>
          <w:tab w:val="left" w:pos="0"/>
        </w:tabs>
        <w:kinsoku/>
        <w:wordWrap/>
        <w:overflowPunct/>
        <w:topLinePunct w:val="0"/>
        <w:autoSpaceDE/>
        <w:autoSpaceDN/>
        <w:bidi w:val="0"/>
        <w:adjustRightInd/>
        <w:snapToGrid/>
        <w:spacing w:before="0" w:after="0" w:line="360" w:lineRule="auto"/>
        <w:jc w:val="left"/>
        <w:textAlignment w:val="auto"/>
        <w:outlineLvl w:val="1"/>
        <w:rPr>
          <w:rFonts w:hint="eastAsia" w:ascii="仿宋" w:hAnsi="仿宋" w:eastAsia="仿宋" w:cs="仿宋"/>
          <w:b/>
          <w:bCs/>
          <w:color w:val="000000"/>
          <w:sz w:val="24"/>
          <w:szCs w:val="24"/>
          <w:highlight w:val="none"/>
          <w:lang w:eastAsia="zh-CN"/>
        </w:rPr>
      </w:pPr>
      <w:r>
        <w:rPr>
          <w:rFonts w:hint="eastAsia" w:ascii="仿宋" w:hAnsi="仿宋" w:eastAsia="仿宋" w:cs="仿宋"/>
          <w:b/>
          <w:bCs/>
          <w:color w:val="000000"/>
          <w:sz w:val="24"/>
          <w:szCs w:val="24"/>
          <w:highlight w:val="none"/>
        </w:rPr>
        <w:t>二、采购清单</w:t>
      </w:r>
      <w:r>
        <w:rPr>
          <w:rFonts w:hint="eastAsia" w:ascii="仿宋" w:hAnsi="仿宋" w:eastAsia="仿宋" w:cs="仿宋"/>
          <w:b/>
          <w:bCs/>
          <w:color w:val="000000"/>
          <w:sz w:val="24"/>
          <w:szCs w:val="24"/>
          <w:highlight w:val="none"/>
          <w:lang w:val="en-US" w:eastAsia="zh-CN"/>
        </w:rPr>
        <w:t>及技术参数要求</w:t>
      </w:r>
      <w:r>
        <w:rPr>
          <w:rFonts w:hint="eastAsia" w:ascii="仿宋" w:hAnsi="仿宋" w:eastAsia="仿宋" w:cs="仿宋"/>
          <w:b/>
          <w:bCs/>
          <w:color w:val="auto"/>
          <w:sz w:val="24"/>
          <w:szCs w:val="24"/>
          <w:highlight w:val="none"/>
        </w:rPr>
        <w:t>（实质性要求</w:t>
      </w:r>
      <w:r>
        <w:rPr>
          <w:rFonts w:hint="eastAsia" w:ascii="仿宋" w:hAnsi="仿宋" w:eastAsia="仿宋" w:cs="仿宋"/>
          <w:b/>
          <w:bCs/>
          <w:color w:val="auto"/>
          <w:sz w:val="24"/>
          <w:szCs w:val="24"/>
          <w:highlight w:val="none"/>
          <w:lang w:eastAsia="zh-CN"/>
        </w:rPr>
        <w:t>）</w:t>
      </w:r>
    </w:p>
    <w:p w14:paraId="507BA11C">
      <w:pPr>
        <w:keepNext/>
        <w:keepLines/>
        <w:pageBreakBefore w:val="0"/>
        <w:widowControl w:val="0"/>
        <w:numPr>
          <w:ilvl w:val="0"/>
          <w:numId w:val="0"/>
        </w:numPr>
        <w:tabs>
          <w:tab w:val="left" w:pos="0"/>
        </w:tabs>
        <w:kinsoku/>
        <w:wordWrap/>
        <w:overflowPunct/>
        <w:topLinePunct w:val="0"/>
        <w:autoSpaceDE/>
        <w:autoSpaceDN/>
        <w:bidi w:val="0"/>
        <w:adjustRightInd/>
        <w:snapToGrid/>
        <w:spacing w:before="0" w:after="0" w:line="360" w:lineRule="auto"/>
        <w:jc w:val="left"/>
        <w:textAlignment w:val="auto"/>
        <w:outlineLvl w:val="1"/>
        <w:rPr>
          <w:rFonts w:hint="eastAsia" w:ascii="仿宋" w:hAnsi="仿宋" w:eastAsia="仿宋" w:cs="仿宋"/>
          <w:b/>
          <w:bCs/>
          <w:color w:val="auto"/>
          <w:sz w:val="24"/>
          <w:szCs w:val="24"/>
          <w:highlight w:val="none"/>
          <w:lang w:eastAsia="zh-CN"/>
        </w:rPr>
      </w:pPr>
      <w:r>
        <w:rPr>
          <w:rFonts w:hint="eastAsia" w:ascii="仿宋" w:hAnsi="仿宋" w:eastAsia="仿宋" w:cs="仿宋"/>
          <w:b/>
          <w:bCs/>
          <w:color w:val="000000"/>
          <w:sz w:val="24"/>
          <w:szCs w:val="24"/>
          <w:highlight w:val="none"/>
          <w:lang w:eastAsia="zh-CN"/>
        </w:rPr>
        <w:t>（</w:t>
      </w:r>
      <w:r>
        <w:rPr>
          <w:rFonts w:hint="eastAsia" w:ascii="仿宋" w:hAnsi="仿宋" w:eastAsia="仿宋" w:cs="仿宋"/>
          <w:b/>
          <w:bCs/>
          <w:color w:val="000000"/>
          <w:sz w:val="24"/>
          <w:szCs w:val="24"/>
          <w:highlight w:val="none"/>
          <w:lang w:val="en-US" w:eastAsia="zh-CN"/>
        </w:rPr>
        <w:t>一</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技术参数要求（实质性要求</w:t>
      </w:r>
      <w:r>
        <w:rPr>
          <w:rFonts w:hint="eastAsia" w:ascii="仿宋" w:hAnsi="仿宋" w:eastAsia="仿宋" w:cs="仿宋"/>
          <w:b/>
          <w:bCs/>
          <w:color w:val="auto"/>
          <w:sz w:val="24"/>
          <w:szCs w:val="24"/>
          <w:highlight w:val="none"/>
          <w:lang w:eastAsia="zh-CN"/>
        </w:rPr>
        <w:t>）</w:t>
      </w:r>
    </w:p>
    <w:tbl>
      <w:tblPr>
        <w:tblStyle w:val="6"/>
        <w:tblW w:w="921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36"/>
        <w:gridCol w:w="893"/>
        <w:gridCol w:w="7889"/>
      </w:tblGrid>
      <w:tr w14:paraId="27C74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6" w:hRule="atLeast"/>
          <w:jc w:val="center"/>
        </w:trPr>
        <w:tc>
          <w:tcPr>
            <w:tcW w:w="436" w:type="dxa"/>
          </w:tcPr>
          <w:p w14:paraId="2428FB53">
            <w:pPr>
              <w:pStyle w:val="13"/>
              <w:jc w:val="center"/>
              <w:rPr>
                <w:rFonts w:hint="default"/>
              </w:rPr>
            </w:pPr>
            <w:r>
              <w:rPr>
                <w:rFonts w:ascii="仿宋_GB2312" w:hAnsi="仿宋_GB2312" w:eastAsia="仿宋_GB2312" w:cs="仿宋_GB2312"/>
              </w:rPr>
              <w:t>序号</w:t>
            </w:r>
          </w:p>
        </w:tc>
        <w:tc>
          <w:tcPr>
            <w:tcW w:w="893" w:type="dxa"/>
          </w:tcPr>
          <w:p w14:paraId="1C50357F">
            <w:pPr>
              <w:pStyle w:val="13"/>
              <w:jc w:val="center"/>
              <w:rPr>
                <w:rFonts w:hint="default"/>
              </w:rPr>
            </w:pPr>
            <w:r>
              <w:rPr>
                <w:rFonts w:ascii="仿宋_GB2312" w:hAnsi="仿宋_GB2312" w:eastAsia="仿宋_GB2312" w:cs="仿宋_GB2312"/>
              </w:rPr>
              <w:t>技术要求名称</w:t>
            </w:r>
          </w:p>
        </w:tc>
        <w:tc>
          <w:tcPr>
            <w:tcW w:w="7889" w:type="dxa"/>
            <w:vAlign w:val="center"/>
          </w:tcPr>
          <w:p w14:paraId="4C20F798">
            <w:pPr>
              <w:pStyle w:val="13"/>
              <w:jc w:val="center"/>
              <w:rPr>
                <w:rFonts w:hint="default"/>
              </w:rPr>
            </w:pPr>
            <w:r>
              <w:rPr>
                <w:rFonts w:ascii="仿宋_GB2312" w:hAnsi="仿宋_GB2312" w:eastAsia="仿宋_GB2312" w:cs="仿宋_GB2312"/>
              </w:rPr>
              <w:t>技术参数与性能指标</w:t>
            </w:r>
          </w:p>
        </w:tc>
      </w:tr>
      <w:tr w14:paraId="61F59F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51" w:hRule="atLeast"/>
          <w:jc w:val="center"/>
        </w:trPr>
        <w:tc>
          <w:tcPr>
            <w:tcW w:w="436" w:type="dxa"/>
          </w:tcPr>
          <w:p w14:paraId="23F01679">
            <w:pPr>
              <w:pStyle w:val="13"/>
              <w:jc w:val="center"/>
              <w:rPr>
                <w:rFonts w:hint="default"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w:t>
            </w:r>
          </w:p>
        </w:tc>
        <w:tc>
          <w:tcPr>
            <w:tcW w:w="893" w:type="dxa"/>
          </w:tcPr>
          <w:p w14:paraId="6AED5826">
            <w:pPr>
              <w:pStyle w:val="13"/>
              <w:rPr>
                <w:rFonts w:hint="default"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技术要求</w:t>
            </w:r>
          </w:p>
        </w:tc>
        <w:tc>
          <w:tcPr>
            <w:tcW w:w="7889" w:type="dxa"/>
          </w:tcPr>
          <w:p w14:paraId="2E5B9B9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一、保险范围</w:t>
            </w:r>
          </w:p>
          <w:p w14:paraId="0B6DF94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在保险单中载明的被保险人的医务人员(以下简称投保医务人员)在诊疗活动中，因执业过失造成患者人身损害，在本保险期间内，由患者或其近亲属首次向被保险人提出索赔申请依法应由被保险人承担民事赔偿责任时，保险人按照保险合同的约定负责赔偿。</w:t>
            </w:r>
          </w:p>
          <w:p w14:paraId="1501F74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投保病床数、医务人员数、年度手术次数由采购人统计核定（南溪区裴石街道社区卫生服务中心为一级乙等医院，医院开放床位44张（编制床位40张），现有卫技在岗职工约27人，年总诊疗25810人次，年住院病人1382人次，年手术量：40例。在承保期间，我院床位数或医护人员总数浮动小于等于百分之十，不增收保险费。</w:t>
            </w:r>
          </w:p>
          <w:p w14:paraId="0779609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二、责任赔偿</w:t>
            </w:r>
          </w:p>
          <w:p w14:paraId="567BB1A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赔偿的计算标准:《中华人民共和国民法典》、《医疗纠纷预防和处理条例》、《医疗事故处理条例》、《最高人民法院关于审理医疗损害责任纠纷案件适用法律若干问题的解释》、《最高人民法院关于审理人身损害赔偿案件适用法律若干问题的解释》</w:t>
            </w:r>
          </w:p>
          <w:p w14:paraId="625C7A30">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（2）发生医疗纠纷后，医患双方按照《医疗纠纷预防和处理条例》通过下列途径解决的，供应商应予以认可:</w:t>
            </w:r>
          </w:p>
          <w:p w14:paraId="10C867B2">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1)双方自愿协商;</w:t>
            </w:r>
          </w:p>
          <w:p w14:paraId="733ECC7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2)申请人民调解;</w:t>
            </w:r>
          </w:p>
          <w:p w14:paraId="4B37B36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3)申请行政调解;</w:t>
            </w:r>
          </w:p>
          <w:p w14:paraId="32EB122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4)向人民法院提起诉讼;</w:t>
            </w:r>
          </w:p>
          <w:p w14:paraId="7F24F6F3">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5)法律、法规规定的其他途径;</w:t>
            </w:r>
          </w:p>
          <w:p w14:paraId="4822C7BB">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（3）伤残等级标准:《人体损伤致残程度分级》、《医疗事故分级标准》或鉴定结果。</w:t>
            </w:r>
          </w:p>
          <w:p w14:paraId="795529B8">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（4）特殊医疗纠纷情形(患者死亡、重残，存在过错、患方配合困难、有群体性事件可能、涉外及边远地区或少数民族):</w:t>
            </w:r>
          </w:p>
          <w:p w14:paraId="532E8169">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1)按照《四川省医疗纠纷预防与处置办法》的规定，赔偿额在2万(含)以下的医疗纠纷医患双方可自行协商，认可医患双方协商，对医患双方协商次数不做限制，扣除”免赔金额后的金额”即为保险赔付金额;</w:t>
            </w:r>
          </w:p>
          <w:p w14:paraId="3A2785DE">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涉及四级或三级医疗事故、或伤残等级可能在十至六级的医疗纠纷，医务科内部或区医学会组织的鉴定存在过错，赔偿金额在2-40万(含)的医疗纠纷，双方认可法院、卫生行政部门、人民调解委员会的调解结果或事先由供应商医核人员审核认定的赔付金额;</w:t>
            </w:r>
          </w:p>
          <w:p w14:paraId="19475EA2">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涉及二级医疗事故、或伤残等级可能在五至二级的医疗纠纷，预估鉴定风险极大，医务科内部或区医学会组织的鉴定存在过错，赔偿金额在10-70万(含)的医疗纠纷，双方认可法院、卫生行政部门、人民调解委员会的调解结果或事先由供应商医核人员审核认定的赔付金额;</w:t>
            </w:r>
          </w:p>
          <w:p w14:paraId="62061D2E">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涉及一级医疗事故、或伤残等级在二级以上的医疗纠纷，预估鉴定风险极大，医务科内部或区医学会组织的鉴定存在过错，赔偿金额在50万(含)以上的医疗纠纷，双方认可法院、卫生行政部门、人民调解委员会的调解结果或事先由供应商医核人员审核认定的赔付金额;</w:t>
            </w:r>
          </w:p>
          <w:p w14:paraId="1F9A4D9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患方拒不配合第三方鉴定的医疗纠纷，供应商须积极协助解决，医务科内部或区医学会组织的鉴定存在过错，双方认可法院、卫生行政部门、人民调解委员会的调解结果或事先由供应商医核人员审核认定的赔付金额;</w:t>
            </w:r>
          </w:p>
          <w:p w14:paraId="7DA0936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有群体性事件可能、或涉外、或涉及边远地区、或涉及少数民族医务科内部或区医学会组织的鉴定存在过错，需即时解决的医疗纠纷，双方认可讨论结果，认可法院、卫生行政部门、人民调解委员会的调解结果或事先由供应商医核人员审核认定的赔付金额;</w:t>
            </w:r>
          </w:p>
          <w:p w14:paraId="144454B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7)因病历瑕疵，如:①病历不完整、内容不完善;②病历中存在其他人员资料;③未按规定修改病历;④病历书写存在明显过错或矛盾的;⑤医患双方对病历真实性存在严重异议;⑥其他：医务科组织的内部讨论存在过错，预估鉴定风险极大，或可能导致无法鉴定，承担同等及主要责任以上的医疗纠纷，认可法院、卫生行政部门、人民调解委员会的调解结果或事先由供应商医核人员审核认定的赔付金额；</w:t>
            </w:r>
          </w:p>
          <w:p w14:paraId="1C7329EE">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8)经治医生未按规定告知患者病情、医疗措施、医疗风险、替代医疗方案，未按规定填写、保管病历资料，或者未按规定补记抢救病历，未按照规定履行告知义务或者取得知情同意的医疗纠纷，医院或医生个人面临重大行政处罚风险的医疗纠纷，双方认可法院、卫生行政部门、人民调解委员会的调解结果或事先由供应商医核人员审核认定的赔付金额;</w:t>
            </w:r>
          </w:p>
          <w:p w14:paraId="091C5872">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（5）通过法院、卫生行政部门、人民调解委员会的调解的案件，双方认可精神赔偿项目及费用;</w:t>
            </w:r>
          </w:p>
          <w:p w14:paraId="1F79BDB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（6）鉴定机构的选择:认可医患双方协商的合法鉴定机构或法院、人民调解委员会、医调委、卫生行政部门认可/指定的鉴定机构;</w:t>
            </w:r>
          </w:p>
          <w:p w14:paraId="1C7101E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7）责任程度的判定标准:认可1)医务科组织的院内或院外专家讨论结果;2)具有一定行政或管理职能的部门(如:人民调解委员会、医调委)组织的专家讨论结果;3)卫生行政部门组织的专家讨论结果;4)第三方鉴定机构;5)法院判决;</w:t>
            </w:r>
          </w:p>
          <w:p w14:paraId="3663F47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（8）尸检费用、医疗事故、医疗过错及伤残等鉴定费(以发票为准，可以为复印件)，司法诉讼案件受理费(以法院判决为赔付条件)、诉讼律师费可以纳入保险赔付金的计算;</w:t>
            </w:r>
          </w:p>
          <w:p w14:paraId="33A6F78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（9）因本次事故原因导致医疗欠费金额，剔除原有基础疾病治疗费用后的剩余部分费用，纳入赔偿范围;</w:t>
            </w:r>
          </w:p>
          <w:p w14:paraId="27732F58">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（10）免赔条件:每次事故绝对免赔1000元或损失金额的10%,二者以高者为准;</w:t>
            </w:r>
          </w:p>
          <w:p w14:paraId="08EBFE04">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（11）事件发生时间的认定:以医务科收到正式投诉或事故涉及科室书面正式上报的时间为发生时间;</w:t>
            </w:r>
          </w:p>
          <w:p w14:paraId="607C9806">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（12）责任赔偿过程中，供应商可以参与医务科组织或者法院、卫生行政部门、人民调解委员会的讨论，并提出意见和解决方案，遇特殊案例，双方可就特殊环节讨论解决。</w:t>
            </w:r>
          </w:p>
          <w:p w14:paraId="26E0FD57">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三、理赔服务</w:t>
            </w:r>
          </w:p>
          <w:p w14:paraId="2063C04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（1）采购人报案方式:微信、QQ、电话、短信均可作为报案途径和方式，全天24小时受理医疗纠纷的报案;设立24小时报案电话。</w:t>
            </w:r>
          </w:p>
          <w:p w14:paraId="2DD5580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（2）配备至少4人的服务团队，其中包含项目负责人1人。设立全天24小时受理医疗纠纷报案的理赔专员1名，并在报案后20分钟内响应，1小时内到达现场处理相关问题。</w:t>
            </w:r>
          </w:p>
          <w:p w14:paraId="6C9F3A18">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赔付时限:在接到理赔申请及完整的索赔资料后，对确属保险责任范围内，双方确定理赔金额之后，赔款金额≤RMB20000元时在2个工作日予以赔付，RMB20000元&lt;赔款金额≤RMB50000在3个工作日内予以赔付，RMB50000元&lt;赔款金额≤RMB100000在5个工作日内予以赔付，RMB100000元&lt;赔款金额在7个工作日内支付;</w:t>
            </w:r>
          </w:p>
          <w:p w14:paraId="338488FB">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（4）供应商认为有关的证明和资料不完整的，应当及时一次性通知采购人补充提供;经医、患双方协商处理成功后，按"赔付时限”及时履行赔偿义务:</w:t>
            </w:r>
          </w:p>
          <w:p w14:paraId="7E87CC23">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若因供应商配合不力，导致医疗纠纷拖延、难以解决，导致采购人名誉、经济等进一步损失的，包括且不限于如发生保监会投诉、双方诉讼、患者因医疗纠纷发生过激行为或自残自伤等情形的，采购人有权解除合同;合同解除时间以前已产生的保险备案，仍按原有合同执行。</w:t>
            </w:r>
          </w:p>
          <w:p w14:paraId="3AAF5B71">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保险公司按时向采购人通报合同执行情况，接受采购人相关监督机构的监督。与采购人保持经常联系、共同商议、及时解决在保险合同执行过程中出现的问题。如发生重大、特大事故，保险公司须和采购人密切合作，对确属保险责任范围内的给予及时赔付。</w:t>
            </w:r>
          </w:p>
          <w:p w14:paraId="7453DA49">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四、投保时限</w:t>
            </w:r>
          </w:p>
          <w:p w14:paraId="4FEA135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采购合同签订生效之日起15个工作日内完成全部参保工作，并向采购人出具保险发票及保险保单。</w:t>
            </w:r>
          </w:p>
        </w:tc>
      </w:tr>
    </w:tbl>
    <w:p w14:paraId="5821EDD5">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bookmarkStart w:id="7" w:name="_Toc28273"/>
      <w:bookmarkStart w:id="8" w:name="_Toc29631"/>
      <w:bookmarkStart w:id="9" w:name="_Toc13771"/>
      <w:bookmarkStart w:id="10" w:name="_Toc3379_WPSOffice_Level2"/>
      <w:r>
        <w:rPr>
          <w:rFonts w:hint="eastAsia" w:ascii="仿宋" w:hAnsi="仿宋" w:eastAsia="仿宋" w:cstheme="minorBidi"/>
          <w:color w:val="auto"/>
          <w:kern w:val="2"/>
          <w:sz w:val="24"/>
          <w:szCs w:val="28"/>
          <w:highlight w:val="none"/>
          <w:lang w:val="en-US" w:eastAsia="zh-CN" w:bidi="ar-SA"/>
        </w:rPr>
        <w:t>三、服务要求（实质性要求）</w:t>
      </w:r>
    </w:p>
    <w:bookmarkEnd w:id="7"/>
    <w:bookmarkEnd w:id="8"/>
    <w:bookmarkEnd w:id="9"/>
    <w:bookmarkEnd w:id="10"/>
    <w:p w14:paraId="132B6F46">
      <w:pPr>
        <w:pStyle w:val="13"/>
        <w:keepNext w:val="0"/>
        <w:keepLines w:val="0"/>
        <w:pageBreakBefore w:val="0"/>
        <w:numPr>
          <w:ilvl w:val="0"/>
          <w:numId w:val="0"/>
        </w:numPr>
        <w:kinsoku/>
        <w:wordWrap/>
        <w:overflowPunct/>
        <w:topLinePunct w:val="0"/>
        <w:autoSpaceDE/>
        <w:autoSpaceDN/>
        <w:bidi w:val="0"/>
        <w:spacing w:line="52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（1）保险公司对发生的理赔案件安排专人负责，每月与采购人电话联系一次，特殊情况做到随叫随到，提供保险服务。</w:t>
      </w:r>
    </w:p>
    <w:p w14:paraId="7F0A259C">
      <w:pPr>
        <w:pStyle w:val="13"/>
        <w:keepNext w:val="0"/>
        <w:keepLines w:val="0"/>
        <w:pageBreakBefore w:val="0"/>
        <w:kinsoku/>
        <w:wordWrap/>
        <w:overflowPunct/>
        <w:topLinePunct w:val="0"/>
        <w:autoSpaceDE/>
        <w:autoSpaceDN/>
        <w:bidi w:val="0"/>
        <w:spacing w:line="520" w:lineRule="exact"/>
        <w:ind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（2）保险公司安排专人每月与医务科对保险责任人进行核减（离职、退休、长假或长期外出学习人员等）或和核增（新进人员、长假、长期外出学习返回人员）。</w:t>
      </w:r>
    </w:p>
    <w:p w14:paraId="2EC6180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default"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责任限额要求:年度医疗责任累计赔偿限额不低于80万元，每次事故赔偿限额20万元，被投保医护人员每次赔偿限额20万元;年度法律费用累计赔偿限额10万元，法律费用不设免赔额;精神损害每次事故每位患者赔偿限额6万元。</w:t>
      </w:r>
    </w:p>
    <w:p w14:paraId="70A4D66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（4）其他要求：</w:t>
      </w:r>
    </w:p>
    <w:p w14:paraId="16AFAACE">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本项目医疗责任险包涵附加医疗机构场所责任及外请医务人员责任，其中：①医疗机构场所责任累计责任限额:¥800000.00元,每次事故每人责任限赔额:¥100000.00元；②外请医务人员（目前3名，可动态调整）累计责任限额:¥800000.00元,每人医疗费用责任限额:¥200000.00元,每名患者责任限额:¥200,000.00元。</w:t>
      </w:r>
    </w:p>
    <w:p w14:paraId="11EAA2F1">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kern w:val="2"/>
          <w:sz w:val="24"/>
          <w:szCs w:val="24"/>
          <w:lang w:val="en-US" w:eastAsia="zh-CN" w:bidi="ar-SA"/>
        </w:rPr>
      </w:pPr>
      <w:r>
        <w:rPr>
          <w:rFonts w:hint="eastAsia" w:ascii="仿宋" w:hAnsi="仿宋" w:eastAsia="仿宋" w:cstheme="minorBidi"/>
          <w:color w:val="auto"/>
          <w:kern w:val="2"/>
          <w:sz w:val="24"/>
          <w:szCs w:val="28"/>
          <w:highlight w:val="none"/>
          <w:lang w:val="en-US" w:eastAsia="zh-CN" w:bidi="ar-SA"/>
        </w:rPr>
        <w:t xml:space="preserve">2.未载明或者载明的标的名称、数量、计量单位及其他政府采购合同实质性内容与采购文件要求不一致，且采购单位无法接受的，属于无效响应； </w:t>
      </w:r>
    </w:p>
    <w:p w14:paraId="7E04647A">
      <w:pPr>
        <w:keepNext w:val="0"/>
        <w:keepLines w:val="0"/>
        <w:pageBreakBefore w:val="0"/>
        <w:tabs>
          <w:tab w:val="left" w:pos="0"/>
        </w:tabs>
        <w:kinsoku/>
        <w:wordWrap/>
        <w:overflowPunct/>
        <w:topLinePunct w:val="0"/>
        <w:autoSpaceDE/>
        <w:autoSpaceDN/>
        <w:bidi w:val="0"/>
        <w:spacing w:line="520" w:lineRule="exact"/>
        <w:ind w:firstLine="482" w:firstLineChars="200"/>
        <w:textAlignment w:val="auto"/>
        <w:rPr>
          <w:rFonts w:hint="eastAsia" w:ascii="仿宋" w:hAnsi="仿宋" w:eastAsia="仿宋" w:cstheme="minorBidi"/>
          <w:b/>
          <w:bCs/>
          <w:color w:val="auto"/>
          <w:kern w:val="2"/>
          <w:sz w:val="24"/>
          <w:szCs w:val="28"/>
          <w:highlight w:val="none"/>
          <w:lang w:val="en-US" w:eastAsia="zh-CN" w:bidi="ar-SA"/>
        </w:rPr>
      </w:pPr>
      <w:r>
        <w:rPr>
          <w:rFonts w:hint="eastAsia" w:ascii="仿宋" w:hAnsi="仿宋" w:eastAsia="仿宋" w:cstheme="minorBidi"/>
          <w:b/>
          <w:bCs/>
          <w:color w:val="auto"/>
          <w:kern w:val="2"/>
          <w:sz w:val="24"/>
          <w:szCs w:val="28"/>
          <w:highlight w:val="none"/>
          <w:lang w:val="en-US" w:eastAsia="zh-CN" w:bidi="ar-SA"/>
        </w:rPr>
        <w:t>四、商务要求（实质性要求）</w:t>
      </w:r>
    </w:p>
    <w:p w14:paraId="60422F08">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（一）服务时间：</w:t>
      </w:r>
      <w:bookmarkStart w:id="11" w:name="OLE_LINK2"/>
      <w:r>
        <w:rPr>
          <w:rFonts w:hint="eastAsia" w:ascii="仿宋" w:hAnsi="仿宋" w:eastAsia="仿宋" w:cstheme="minorBidi"/>
          <w:color w:val="auto"/>
          <w:kern w:val="2"/>
          <w:sz w:val="24"/>
          <w:szCs w:val="28"/>
          <w:highlight w:val="none"/>
          <w:lang w:val="en-US" w:eastAsia="zh-CN" w:bidi="ar-SA"/>
        </w:rPr>
        <w:t>合同签订生效之日起一年</w:t>
      </w:r>
      <w:bookmarkEnd w:id="11"/>
      <w:r>
        <w:rPr>
          <w:rFonts w:hint="eastAsia" w:ascii="仿宋" w:hAnsi="仿宋" w:eastAsia="仿宋" w:cstheme="minorBidi"/>
          <w:color w:val="auto"/>
          <w:kern w:val="2"/>
          <w:sz w:val="24"/>
          <w:szCs w:val="28"/>
          <w:highlight w:val="none"/>
          <w:lang w:val="en-US" w:eastAsia="zh-CN" w:bidi="ar-SA"/>
        </w:rPr>
        <w:t>。</w:t>
      </w:r>
    </w:p>
    <w:p w14:paraId="0BAB8C65">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（二）服务地点：宜宾市南溪区裴石街道社区卫生服务中心。</w:t>
      </w:r>
    </w:p>
    <w:p w14:paraId="0B373DAD">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（三）支付方式：一次性付款。</w:t>
      </w:r>
    </w:p>
    <w:p w14:paraId="10572208">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（四）付款进度安排：全款，合同签订后，达到付款条件起10个工作日内，支付合同总金额的100.0%，并向甲方提供发票，开具保单。(成交供应商须向采购人出具合法有效完整的增值税发票及凭证资料)。</w:t>
      </w:r>
    </w:p>
    <w:p w14:paraId="5B4FE92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（五）验收、交付标准和方法</w:t>
      </w:r>
    </w:p>
    <w:p w14:paraId="768593E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采购人和相关部门按照国家规定组织专家组进行验收，没有国家标准的按行业标准验收，无行业标准的按地方或企业标准验收，成交供应商予以配合。同时验收时将严格对照本项目谈判文件及成交供应商的响应文件进行验收，若发现有一项与本项目谈判文件或成交供应商响应文件有冲突的地方，采购人将不予验收，并不予支付采购资金，并且由此引发的一切损失由成交供应商承担。</w:t>
      </w:r>
    </w:p>
    <w:p w14:paraId="7AA5A484">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（2）完成参保服务后，供应商验收申请之日起30日内，组织对采购项目进行验收。</w:t>
      </w:r>
    </w:p>
    <w:p w14:paraId="2FD76E91">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（3）其他未尽事宜应严格按照《财政部关于进一步加强政府采购需求和履约验收管理的指导意见》(财库〔2016〕205号)的要求进行验收。</w:t>
      </w:r>
    </w:p>
    <w:p w14:paraId="1220B1CC">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（4）验收结果合格的，采购人向成交供应商支付剩余采购资金；验收结果不合格的，也将不予支付采购资金。</w:t>
      </w:r>
    </w:p>
    <w:p w14:paraId="0828EBB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（六）违约责任与解决争议的方法</w:t>
      </w:r>
    </w:p>
    <w:p w14:paraId="17C2A0A6">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1.甲乙双方必须遵守本合同并执行合同中的各项规定，保证本合同的正常履行。</w:t>
      </w:r>
    </w:p>
    <w:p w14:paraId="686BD531">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2.采购人逾期支付货款的，除应及时付足货款外，应向成交供应商偿付欠款总额万分之一/天的违约金；逾期付款超过90天的，成交供应商有权终止合同。</w:t>
      </w:r>
    </w:p>
    <w:p w14:paraId="52B9F77B">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 xml:space="preserve">3.如因乙方工作人员在履行职务过程中的的疏忽、失职、过错等故意或者过失原因给甲方造成损失或侵害，包括但不限于甲方本身的财产损失、由此而导致的甲方对任何第三方的法律责任等，乙方对此均应承担全部的赔偿责任 </w:t>
      </w:r>
    </w:p>
    <w:p w14:paraId="5CBE4EA4">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若乙方违约未能按照约定提供服务，甲方有权终止协议。造成甲方不良社会影响或经济损失，则甲方有权追究乙方责任，要求其消除影响、并作相应的经济赔偿，若损失无法进行具体测算，乙方向采购人支付合同总金额10%的违约金。</w:t>
      </w:r>
    </w:p>
    <w:p w14:paraId="44818A3E">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 xml:space="preserve">5.因乙方违约未能按照约定提供服务导致合同解除的，乙方应全额退还甲方已支付的保险费用，乙方已按约定支付的赔款由乙方自行承担，甲方不必退还。 </w:t>
      </w:r>
    </w:p>
    <w:p w14:paraId="3D8C35D6">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6.解决争议的方法:合同履行期间,若双方发生争议，可协商或由有关部门调解解决，协商或调解不成的，由当事人依法维护其合法权益，并由采购人所在地人民法院会裁定。</w:t>
      </w:r>
    </w:p>
    <w:p w14:paraId="35FF183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default"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五、其他要求</w:t>
      </w:r>
    </w:p>
    <w:p w14:paraId="4CE0C05B">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（一）履约保证金：本项目不收取。</w:t>
      </w:r>
    </w:p>
    <w:p w14:paraId="7247AFC4">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（二）风险处置措施和替代方案</w:t>
      </w:r>
    </w:p>
    <w:p w14:paraId="287A321B">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本项目采购过程和合同履行过程中的风险严格按照采购人的风险控制管理要求执行除不可抗力以外（如：国家政策变化导致资金预算调整，或继续履约有可能影响国家利益等），本项目严格按照合同执行，如有违约，按合同违约条款处理；本项目无替代方案。</w:t>
      </w:r>
    </w:p>
    <w:p w14:paraId="436294E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（三）知识产权</w:t>
      </w:r>
    </w:p>
    <w:p w14:paraId="4FDBCCD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供应商应保证在本项目中使用的任何技术、产品和服务（包括部分使用），不会产生因第三方提出侵犯其专利权、商标权或其它知识产权而引起的法律和经济纠纷，如存在前述情形，由供应商承担所有相关责任，并且赔偿由此给采购人带来的损失。采购人享有本项目实施过程中产生的知识成果及知识产权。</w:t>
      </w:r>
    </w:p>
    <w:p w14:paraId="15D90BC3">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供应商将在采购项目实施过程中采用自有或者第三方知识成果的，使用该知识成果后，供应商需提供开发接口和开发手册等技术资料，并承诺提供无限期支持，采购人享有使用权（含采购人委托第三方在该项目后续开发的使用权）。</w:t>
      </w:r>
    </w:p>
    <w:p w14:paraId="157CCF1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3.如使用供应商所不拥有的知识产权，则在报价中必须包括合法使用该知识产权的相关费用。</w:t>
      </w:r>
    </w:p>
    <w:p w14:paraId="0896CDCB">
      <w:pPr>
        <w:keepNext w:val="0"/>
        <w:keepLines w:val="0"/>
        <w:pageBreakBefore w:val="0"/>
        <w:tabs>
          <w:tab w:val="left" w:pos="0"/>
        </w:tabs>
        <w:kinsoku/>
        <w:wordWrap/>
        <w:overflowPunct/>
        <w:topLinePunct w:val="0"/>
        <w:autoSpaceDE/>
        <w:autoSpaceDN/>
        <w:bidi w:val="0"/>
        <w:spacing w:line="520" w:lineRule="exact"/>
        <w:ind w:firstLine="482" w:firstLineChars="200"/>
        <w:textAlignment w:val="auto"/>
        <w:rPr>
          <w:rFonts w:hint="eastAsia" w:ascii="仿宋" w:hAnsi="仿宋" w:eastAsia="仿宋" w:cstheme="minorBidi"/>
          <w:b/>
          <w:bCs/>
          <w:color w:val="auto"/>
          <w:kern w:val="2"/>
          <w:sz w:val="24"/>
          <w:szCs w:val="28"/>
          <w:highlight w:val="none"/>
          <w:lang w:val="en-US" w:eastAsia="zh-CN" w:bidi="ar-SA"/>
        </w:rPr>
      </w:pPr>
      <w:r>
        <w:rPr>
          <w:rFonts w:hint="eastAsia" w:ascii="仿宋" w:hAnsi="仿宋" w:eastAsia="仿宋" w:cstheme="minorBidi"/>
          <w:b/>
          <w:bCs/>
          <w:color w:val="auto"/>
          <w:kern w:val="2"/>
          <w:sz w:val="24"/>
          <w:szCs w:val="28"/>
          <w:highlight w:val="none"/>
          <w:lang w:val="en-US" w:eastAsia="zh-CN" w:bidi="ar-SA"/>
        </w:rPr>
        <w:t>六、供应商资格条件</w:t>
      </w:r>
    </w:p>
    <w:p w14:paraId="0FF00FAE">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（一）具备《中华人民共和国政府采购法</w:t>
      </w:r>
      <w:bookmarkStart w:id="12" w:name="_GoBack"/>
      <w:bookmarkEnd w:id="12"/>
      <w:r>
        <w:rPr>
          <w:rFonts w:hint="eastAsia" w:ascii="仿宋" w:hAnsi="仿宋" w:eastAsia="仿宋" w:cstheme="minorBidi"/>
          <w:color w:val="auto"/>
          <w:kern w:val="2"/>
          <w:sz w:val="24"/>
          <w:szCs w:val="28"/>
          <w:highlight w:val="none"/>
          <w:lang w:val="en-US" w:eastAsia="zh-CN" w:bidi="ar-SA"/>
        </w:rPr>
        <w:t>》第二十二条的相关规定：</w:t>
      </w:r>
    </w:p>
    <w:p w14:paraId="7FAFC9C3">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1.具有独立承担民事责任的能力；</w:t>
      </w:r>
    </w:p>
    <w:p w14:paraId="0CB489E9">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2.具有良好的商业信誉和健全的财务会计制度；</w:t>
      </w:r>
    </w:p>
    <w:p w14:paraId="0775EBA8">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3.具有履行合同所必需的设备和专业技术能力；</w:t>
      </w:r>
    </w:p>
    <w:p w14:paraId="5AAC1A92">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4.有依法缴纳税收和社会保障资金的良好记录；</w:t>
      </w:r>
    </w:p>
    <w:p w14:paraId="7B34CAFF">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5.参加政府采购活动前三年内，在经营活动中没有重大违法记录；</w:t>
      </w:r>
    </w:p>
    <w:p w14:paraId="01C4E27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6.法律、行政法规规定的其他条件。</w:t>
      </w:r>
    </w:p>
    <w:p w14:paraId="051DB5A8">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（二）其他类似效力要求</w:t>
      </w:r>
    </w:p>
    <w:p w14:paraId="3B93EE3B">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1.供应商与其他供应商之间，单位负责人不为同一人而且不存在直接控股、管理关系。</w:t>
      </w:r>
    </w:p>
    <w:p w14:paraId="5614979F">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2.本项目不接受联合体响应。</w:t>
      </w:r>
    </w:p>
    <w:p w14:paraId="3F68F8E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（三）根据采购项目提出的特殊条件：无</w:t>
      </w:r>
    </w:p>
    <w:p w14:paraId="7AD91F86">
      <w:pPr>
        <w:pageBreakBefore w:val="0"/>
        <w:tabs>
          <w:tab w:val="left" w:pos="0"/>
        </w:tabs>
        <w:kinsoku/>
        <w:wordWrap/>
        <w:overflowPunct/>
        <w:topLinePunct w:val="0"/>
        <w:autoSpaceDE/>
        <w:autoSpaceDN/>
        <w:bidi w:val="0"/>
        <w:adjustRightInd/>
        <w:spacing w:line="360" w:lineRule="auto"/>
        <w:ind w:left="0" w:firstLine="420"/>
        <w:textAlignment w:val="auto"/>
        <w:rPr>
          <w:rFonts w:hint="eastAsia" w:ascii="仿宋" w:hAnsi="仿宋" w:eastAsia="仿宋" w:cs="仿宋"/>
          <w:b w:val="0"/>
          <w:bCs w:val="0"/>
          <w:color w:val="000000"/>
          <w:sz w:val="24"/>
          <w:szCs w:val="24"/>
          <w:highlight w:val="none"/>
          <w:lang w:val="en-US" w:eastAsia="zh-CN"/>
        </w:rPr>
      </w:pPr>
    </w:p>
    <w:p w14:paraId="6E8417C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eastAsia" w:ascii="仿宋" w:hAnsi="仿宋" w:eastAsia="仿宋" w:cs="仿宋"/>
          <w:b/>
          <w:bCs/>
          <w:i w:val="0"/>
          <w:strike w:val="0"/>
          <w:color w:val="auto"/>
          <w:kern w:val="0"/>
          <w:sz w:val="24"/>
          <w:szCs w:val="24"/>
          <w:highlight w:val="none"/>
          <w:u w:val="none"/>
          <w:lang w:val="en-US" w:eastAsia="zh-CN" w:bidi="ar"/>
        </w:rPr>
      </w:pPr>
      <w:r>
        <w:rPr>
          <w:rFonts w:hint="eastAsia" w:ascii="仿宋" w:hAnsi="仿宋" w:eastAsia="仿宋" w:cs="仿宋"/>
          <w:b/>
          <w:bCs/>
          <w:i w:val="0"/>
          <w:strike w:val="0"/>
          <w:color w:val="auto"/>
          <w:kern w:val="0"/>
          <w:sz w:val="24"/>
          <w:szCs w:val="24"/>
          <w:highlight w:val="none"/>
          <w:u w:val="none"/>
          <w:lang w:val="en-US" w:eastAsia="zh-CN" w:bidi="ar"/>
        </w:rPr>
        <w:t>注：1.本章实质性条款，供应商必须满足；未满足，按照无效响应处理；</w:t>
      </w:r>
    </w:p>
    <w:p w14:paraId="269F99F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jc w:val="left"/>
        <w:rPr>
          <w:rFonts w:hint="eastAsia" w:ascii="仿宋" w:hAnsi="仿宋" w:eastAsia="仿宋" w:cs="仿宋"/>
          <w:b w:val="0"/>
          <w:bCs w:val="0"/>
          <w:color w:val="000000"/>
          <w:sz w:val="24"/>
          <w:szCs w:val="24"/>
          <w:highlight w:val="none"/>
          <w:lang w:val="en-US" w:eastAsia="zh-CN"/>
        </w:rPr>
        <w:sectPr>
          <w:headerReference r:id="rId4" w:type="first"/>
          <w:footerReference r:id="rId6" w:type="first"/>
          <w:headerReference r:id="rId3" w:type="default"/>
          <w:footerReference r:id="rId5" w:type="default"/>
          <w:pgSz w:w="11906" w:h="16838"/>
          <w:pgMar w:top="1440" w:right="969" w:bottom="1440" w:left="1026" w:header="851" w:footer="992" w:gutter="0"/>
          <w:pgNumType w:start="1"/>
          <w:cols w:space="0" w:num="1"/>
          <w:titlePg/>
          <w:docGrid w:linePitch="312" w:charSpace="0"/>
        </w:sectPr>
      </w:pPr>
      <w:r>
        <w:rPr>
          <w:rFonts w:hint="eastAsia" w:ascii="仿宋" w:hAnsi="仿宋" w:eastAsia="仿宋" w:cs="仿宋"/>
          <w:b/>
          <w:bCs/>
          <w:i w:val="0"/>
          <w:strike w:val="0"/>
          <w:color w:val="auto"/>
          <w:kern w:val="0"/>
          <w:sz w:val="24"/>
          <w:szCs w:val="24"/>
          <w:highlight w:val="none"/>
          <w:u w:val="none"/>
          <w:lang w:val="en-US" w:eastAsia="zh-CN" w:bidi="ar"/>
        </w:rPr>
        <w:t>2.本章节内容在谈判过程中，谈判小组在获得采购人代表确认的前提下，可以根据谈判情况实质性变动相关内容。谈判小组对谈判文件作出的实质性变动是谈判文件的有效组成</w:t>
      </w:r>
    </w:p>
    <w:p w14:paraId="0AEEC734">
      <w:pPr>
        <w:spacing w:line="360" w:lineRule="auto"/>
        <w:rPr>
          <w:b/>
          <w:bCs/>
          <w:highlight w:val="none"/>
        </w:rPr>
      </w:pPr>
    </w:p>
    <w:p w14:paraId="7063BE00">
      <w:pPr>
        <w:keepNext w:val="0"/>
        <w:keepLines w:val="0"/>
        <w:widowControl/>
        <w:suppressLineNumbers w:val="0"/>
        <w:spacing w:after="120" w:line="360" w:lineRule="auto"/>
        <w:jc w:val="both"/>
        <w:rPr>
          <w:rFonts w:hint="eastAsia" w:ascii="仿宋" w:hAnsi="仿宋" w:eastAsia="仿宋" w:cs="仿宋"/>
          <w:b w:val="0"/>
          <w:i w:val="0"/>
          <w:strike w:val="0"/>
          <w:color w:val="auto"/>
          <w:kern w:val="0"/>
          <w:sz w:val="24"/>
          <w:szCs w:val="24"/>
          <w:highlight w:val="none"/>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CD6FA">
    <w:pPr>
      <w:pStyle w:val="4"/>
      <w:tabs>
        <w:tab w:val="center" w:pos="4153"/>
        <w:tab w:val="right" w:pos="8306"/>
        <w:tab w:val="clear" w:pos="0"/>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D92AE">
                          <w:pPr>
                            <w:pStyle w:val="4"/>
                            <w:tabs>
                              <w:tab w:val="center" w:pos="4153"/>
                              <w:tab w:val="right" w:pos="8306"/>
                              <w:tab w:val="clear" w:pos="0"/>
                            </w:tabs>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0D92AE">
                    <w:pPr>
                      <w:pStyle w:val="4"/>
                      <w:tabs>
                        <w:tab w:val="center" w:pos="4153"/>
                        <w:tab w:val="right" w:pos="8306"/>
                        <w:tab w:val="clear" w:pos="0"/>
                      </w:tabs>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EB826">
    <w:pPr>
      <w:pStyle w:val="4"/>
      <w:tabs>
        <w:tab w:val="center" w:pos="4153"/>
        <w:tab w:val="right" w:pos="8306"/>
        <w:tab w:val="clear" w:pos="0"/>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B9AE2">
                          <w:pPr>
                            <w:pStyle w:val="4"/>
                            <w:tabs>
                              <w:tab w:val="center" w:pos="4153"/>
                              <w:tab w:val="right" w:pos="8306"/>
                              <w:tab w:val="clear" w:pos="0"/>
                            </w:tabs>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91B9AE2">
                    <w:pPr>
                      <w:pStyle w:val="4"/>
                      <w:tabs>
                        <w:tab w:val="center" w:pos="4153"/>
                        <w:tab w:val="right" w:pos="8306"/>
                        <w:tab w:val="clear" w:pos="0"/>
                      </w:tabs>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9A1F">
    <w:pPr>
      <w:pStyle w:val="5"/>
      <w:pBdr>
        <w:bottom w:val="none" w:color="auto" w:sz="0" w:space="1"/>
      </w:pBdr>
      <w:tabs>
        <w:tab w:val="center" w:pos="4153"/>
        <w:tab w:val="right" w:pos="8306"/>
        <w:tab w:val="clear" w:pos="0"/>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98055">
    <w:pPr>
      <w:pStyle w:val="5"/>
      <w:pBdr>
        <w:bottom w:val="none" w:color="auto" w:sz="0" w:space="1"/>
      </w:pBdr>
      <w:tabs>
        <w:tab w:val="center" w:pos="4153"/>
        <w:tab w:val="right" w:pos="8306"/>
        <w:tab w:val="clear" w:pos="0"/>
      </w:tabs>
      <w:jc w:val="left"/>
      <w:rPr>
        <w:rFonts w:asciiTheme="minorEastAsia" w:hAnsiTheme="minorEastAsia" w:cstheme="min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pStyle w:val="10"/>
      <w:suff w:val="nothing"/>
      <w:lvlText w:val="第%1章 "/>
      <w:lvlJc w:val="left"/>
      <w:pPr>
        <w:tabs>
          <w:tab w:val="left" w:pos="0"/>
        </w:tabs>
        <w:ind w:left="0" w:firstLine="0"/>
      </w:pPr>
      <w:rPr>
        <w:rFonts w:hint="eastAsia" w:ascii="宋体" w:hAnsi="宋体" w:eastAsia="宋体" w:cs="宋体"/>
      </w:rPr>
    </w:lvl>
    <w:lvl w:ilvl="1" w:tentative="0">
      <w:start w:val="1"/>
      <w:numFmt w:val="chineseCounting"/>
      <w:pStyle w:val="12"/>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suff w:val="nothing"/>
      <w:lvlText w:val="%4."/>
      <w:lvlJc w:val="left"/>
      <w:pPr>
        <w:tabs>
          <w:tab w:val="left" w:pos="0"/>
        </w:tabs>
        <w:ind w:left="0"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E8A037E1"/>
    <w:multiLevelType w:val="singleLevel"/>
    <w:tmpl w:val="E8A037E1"/>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277C9"/>
    <w:rsid w:val="005A3913"/>
    <w:rsid w:val="025F787A"/>
    <w:rsid w:val="028D5DC9"/>
    <w:rsid w:val="03C17334"/>
    <w:rsid w:val="06D53145"/>
    <w:rsid w:val="0EE35732"/>
    <w:rsid w:val="16A66988"/>
    <w:rsid w:val="18095344"/>
    <w:rsid w:val="18E124D7"/>
    <w:rsid w:val="1B1C6BDA"/>
    <w:rsid w:val="1CB71BD2"/>
    <w:rsid w:val="21090163"/>
    <w:rsid w:val="26DF6E71"/>
    <w:rsid w:val="28C11017"/>
    <w:rsid w:val="2D336628"/>
    <w:rsid w:val="30B40647"/>
    <w:rsid w:val="331210F9"/>
    <w:rsid w:val="38877E93"/>
    <w:rsid w:val="3CCA06C4"/>
    <w:rsid w:val="4013746F"/>
    <w:rsid w:val="40310AAC"/>
    <w:rsid w:val="40E14FD6"/>
    <w:rsid w:val="42333799"/>
    <w:rsid w:val="444529B0"/>
    <w:rsid w:val="46D15CF5"/>
    <w:rsid w:val="4A620295"/>
    <w:rsid w:val="4B8059D0"/>
    <w:rsid w:val="540B6226"/>
    <w:rsid w:val="548226C0"/>
    <w:rsid w:val="557064FF"/>
    <w:rsid w:val="55AD1AB8"/>
    <w:rsid w:val="561128A8"/>
    <w:rsid w:val="5A044AC5"/>
    <w:rsid w:val="5A9A1850"/>
    <w:rsid w:val="5B435A44"/>
    <w:rsid w:val="5C0B21C5"/>
    <w:rsid w:val="650E70C3"/>
    <w:rsid w:val="6DA374CC"/>
    <w:rsid w:val="6EF57DEC"/>
    <w:rsid w:val="70D82090"/>
    <w:rsid w:val="71A91862"/>
    <w:rsid w:val="76C21EBA"/>
    <w:rsid w:val="7740176A"/>
    <w:rsid w:val="79381593"/>
    <w:rsid w:val="79533E8D"/>
    <w:rsid w:val="7F272163"/>
    <w:rsid w:val="7F82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tabs>
        <w:tab w:val="left" w:pos="0"/>
      </w:tabs>
      <w:ind w:firstLine="200" w:firstLineChars="200"/>
    </w:pPr>
  </w:style>
  <w:style w:type="paragraph" w:styleId="4">
    <w:name w:val="footer"/>
    <w:basedOn w:val="1"/>
    <w:qFormat/>
    <w:uiPriority w:val="0"/>
    <w:pPr>
      <w:tabs>
        <w:tab w:val="left" w:pos="0"/>
      </w:tabs>
      <w:spacing w:line="240" w:lineRule="auto"/>
    </w:pPr>
    <w:rPr>
      <w:sz w:val="18"/>
      <w:szCs w:val="18"/>
    </w:rPr>
  </w:style>
  <w:style w:type="paragraph" w:styleId="5">
    <w:name w:val="header"/>
    <w:basedOn w:val="1"/>
    <w:next w:val="1"/>
    <w:qFormat/>
    <w:uiPriority w:val="0"/>
    <w:pPr>
      <w:pBdr>
        <w:bottom w:val="single" w:color="auto" w:sz="6" w:space="1"/>
      </w:pBdr>
      <w:tabs>
        <w:tab w:val="left" w:pos="0"/>
      </w:tabs>
      <w:wordWrap w:val="0"/>
      <w:topLinePunct/>
      <w:spacing w:line="240" w:lineRule="auto"/>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14、“第一章”一级标题"/>
    <w:basedOn w:val="11"/>
    <w:autoRedefine/>
    <w:qFormat/>
    <w:uiPriority w:val="0"/>
    <w:pPr>
      <w:numPr>
        <w:ilvl w:val="0"/>
        <w:numId w:val="1"/>
      </w:numPr>
      <w:spacing w:before="50" w:beforeLines="50" w:after="50" w:afterLines="50" w:line="240" w:lineRule="auto"/>
      <w:jc w:val="center"/>
      <w:outlineLvl w:val="0"/>
    </w:pPr>
    <w:rPr>
      <w:b/>
      <w:sz w:val="36"/>
    </w:rPr>
  </w:style>
  <w:style w:type="paragraph" w:customStyle="1" w:styleId="11">
    <w:name w:val="01、普通正文"/>
    <w:basedOn w:val="1"/>
    <w:autoRedefine/>
    <w:qFormat/>
    <w:uiPriority w:val="0"/>
    <w:pPr>
      <w:tabs>
        <w:tab w:val="left" w:pos="0"/>
      </w:tabs>
      <w:wordWrap w:val="0"/>
      <w:topLinePunct/>
    </w:pPr>
    <w:rPr>
      <w:snapToGrid w:val="0"/>
    </w:rPr>
  </w:style>
  <w:style w:type="paragraph" w:customStyle="1" w:styleId="12">
    <w:name w:val="15、“一、”二级标题"/>
    <w:basedOn w:val="1"/>
    <w:autoRedefine/>
    <w:qFormat/>
    <w:uiPriority w:val="0"/>
    <w:pPr>
      <w:numPr>
        <w:ilvl w:val="1"/>
        <w:numId w:val="1"/>
      </w:numPr>
      <w:tabs>
        <w:tab w:val="left" w:pos="0"/>
      </w:tabs>
      <w:wordWrap w:val="0"/>
      <w:topLinePunct/>
      <w:ind w:firstLine="803" w:firstLineChars="200"/>
      <w:outlineLvl w:val="1"/>
    </w:pPr>
    <w:rPr>
      <w:b/>
    </w:rPr>
  </w:style>
  <w:style w:type="paragraph" w:customStyle="1" w:styleId="13">
    <w:name w:val="null3"/>
    <w:autoRedefine/>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2831</Words>
  <Characters>2938</Characters>
  <Lines>0</Lines>
  <Paragraphs>0</Paragraphs>
  <TotalTime>1</TotalTime>
  <ScaleCrop>false</ScaleCrop>
  <LinksUpToDate>false</LinksUpToDate>
  <CharactersWithSpaces>2938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2026-08-11T02:24:00Z</dcterms:created>
  <dc:creator>asus</dc:creator>
  <cp:lastModifiedBy>小情绪</cp:lastModifiedBy>
  <cp:lastPrinted>2026-08-19T03:34:00Z</cp:lastPrinted>
  <dcterms:modified xsi:type="dcterms:W3CDTF">2026-09-17T01:08:32Z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eyJoZGlkIjoiN2RiMWE4MDVhYmZlYzU3ZTlkODY2ZTJkNGUyYTAzNGYiLCJ1c2VySWQiOiI3ODQzNDYyOTgifQ==</vt:lpwstr>
  </property>
  <property fmtid="{D5CDD505-2E9C-101B-9397-08002B2CF9AE}" pid="4" name="ICV">
    <vt:lpwstr>00D63D8DA9874212A90BB9D1377C4213_12</vt:lpwstr>
  </property>
</Properties>
</file>