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95B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spacing w:val="0"/>
          <w:kern w:val="0"/>
          <w:sz w:val="24"/>
          <w:szCs w:val="24"/>
          <w:highlight w:val="none"/>
          <w:shd w:val="clear" w:fill="FFFFFF"/>
          <w:lang w:val="en-US" w:eastAsia="zh-CN" w:bidi="ar"/>
        </w:rPr>
      </w:pPr>
      <w:r>
        <w:rPr>
          <w:rFonts w:hint="eastAsia" w:ascii="仿宋" w:hAnsi="仿宋" w:eastAsia="仿宋" w:cs="仿宋"/>
          <w:b/>
          <w:bCs/>
          <w:spacing w:val="0"/>
          <w:kern w:val="0"/>
          <w:sz w:val="24"/>
          <w:szCs w:val="24"/>
          <w:highlight w:val="none"/>
          <w:shd w:val="clear" w:fill="FFFFFF"/>
          <w:lang w:val="en-US" w:eastAsia="zh-CN" w:bidi="ar"/>
        </w:rPr>
        <w:t>附件1：项目服务内容及技术参数要求</w:t>
      </w:r>
    </w:p>
    <w:p w14:paraId="7CE08A5A">
      <w:pPr>
        <w:keepNext/>
        <w:keepLines/>
        <w:widowControl w:val="0"/>
        <w:spacing w:before="0" w:after="0" w:line="360" w:lineRule="auto"/>
        <w:jc w:val="both"/>
        <w:outlineLvl w:val="1"/>
        <w:rPr>
          <w:rFonts w:hint="eastAsia" w:ascii="仿宋" w:hAnsi="仿宋" w:eastAsia="仿宋" w:cs="仿宋"/>
          <w:b/>
          <w:bCs/>
          <w:i w:val="0"/>
          <w:strike w:val="0"/>
          <w:color w:val="auto"/>
          <w:kern w:val="2"/>
          <w:sz w:val="24"/>
          <w:szCs w:val="24"/>
          <w:highlight w:val="none"/>
          <w:u w:val="none"/>
          <w:lang w:val="en-US" w:eastAsia="zh-CN" w:bidi="ar-SA"/>
        </w:rPr>
      </w:pPr>
      <w:bookmarkStart w:id="0" w:name="_Toc18579"/>
      <w:r>
        <w:rPr>
          <w:rFonts w:hint="eastAsia" w:ascii="仿宋" w:hAnsi="仿宋" w:eastAsia="仿宋" w:cs="仿宋"/>
          <w:b/>
          <w:bCs/>
          <w:i w:val="0"/>
          <w:strike w:val="0"/>
          <w:color w:val="auto"/>
          <w:kern w:val="2"/>
          <w:sz w:val="24"/>
          <w:szCs w:val="24"/>
          <w:highlight w:val="none"/>
          <w:u w:val="none"/>
          <w:lang w:val="en-US" w:eastAsia="zh-CN" w:bidi="ar-SA"/>
        </w:rPr>
        <w:t>★一、</w:t>
      </w:r>
      <w:bookmarkEnd w:id="0"/>
      <w:r>
        <w:rPr>
          <w:rFonts w:hint="eastAsia" w:ascii="仿宋" w:hAnsi="仿宋" w:eastAsia="仿宋" w:cs="仿宋"/>
          <w:b/>
          <w:bCs/>
          <w:i w:val="0"/>
          <w:strike w:val="0"/>
          <w:color w:val="auto"/>
          <w:kern w:val="2"/>
          <w:sz w:val="24"/>
          <w:szCs w:val="24"/>
          <w:highlight w:val="none"/>
          <w:u w:val="none"/>
          <w:lang w:val="en-US" w:eastAsia="zh-CN" w:bidi="ar-SA"/>
        </w:rPr>
        <w:t>采购内容</w:t>
      </w:r>
    </w:p>
    <w:p w14:paraId="1A4EF5CD">
      <w:pPr>
        <w:keepNext/>
        <w:keepLines/>
        <w:widowControl w:val="0"/>
        <w:spacing w:before="0" w:after="0" w:line="360" w:lineRule="auto"/>
        <w:jc w:val="both"/>
        <w:outlineLvl w:val="1"/>
        <w:rPr>
          <w:rFonts w:hint="eastAsia" w:ascii="仿宋" w:hAnsi="仿宋" w:eastAsia="仿宋" w:cs="仿宋"/>
          <w:b/>
          <w:bCs/>
          <w:i w:val="0"/>
          <w:strike w:val="0"/>
          <w:color w:val="FFFF00"/>
          <w:kern w:val="2"/>
          <w:sz w:val="24"/>
          <w:szCs w:val="24"/>
          <w:highlight w:val="none"/>
          <w:u w:val="none"/>
          <w:lang w:val="en-US" w:eastAsia="zh-CN" w:bidi="ar-SA"/>
        </w:rPr>
      </w:pPr>
    </w:p>
    <w:p w14:paraId="7DA314A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i w:val="0"/>
          <w:strike w:val="0"/>
          <w:color w:val="auto"/>
          <w:kern w:val="2"/>
          <w:sz w:val="24"/>
          <w:szCs w:val="24"/>
          <w:highlight w:val="none"/>
          <w:u w:val="none"/>
          <w:lang w:val="en-US" w:eastAsia="zh-CN" w:bidi="ar-SA"/>
        </w:rPr>
      </w:pPr>
      <w:r>
        <w:rPr>
          <w:rFonts w:hint="eastAsia" w:ascii="仿宋" w:hAnsi="仿宋" w:eastAsia="仿宋" w:cs="仿宋"/>
          <w:b/>
          <w:bCs w:val="0"/>
          <w:i w:val="0"/>
          <w:strike w:val="0"/>
          <w:color w:val="auto"/>
          <w:kern w:val="0"/>
          <w:sz w:val="24"/>
          <w:szCs w:val="24"/>
          <w:highlight w:val="none"/>
          <w:u w:val="none"/>
          <w:lang w:val="en-US" w:eastAsia="zh-CN" w:bidi="ar"/>
        </w:rPr>
        <w:t>采购标的清单</w:t>
      </w:r>
    </w:p>
    <w:tbl>
      <w:tblPr>
        <w:tblStyle w:val="4"/>
        <w:tblW w:w="9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426"/>
        <w:gridCol w:w="817"/>
        <w:gridCol w:w="1105"/>
        <w:gridCol w:w="1610"/>
        <w:gridCol w:w="1811"/>
        <w:gridCol w:w="1199"/>
        <w:gridCol w:w="1117"/>
      </w:tblGrid>
      <w:tr w14:paraId="19C7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756" w:type="dxa"/>
            <w:vAlign w:val="center"/>
          </w:tcPr>
          <w:p w14:paraId="603D0243">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序号</w:t>
            </w:r>
          </w:p>
        </w:tc>
        <w:tc>
          <w:tcPr>
            <w:tcW w:w="1426" w:type="dxa"/>
            <w:vAlign w:val="center"/>
          </w:tcPr>
          <w:p w14:paraId="5CC748C6">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产品名称</w:t>
            </w:r>
          </w:p>
        </w:tc>
        <w:tc>
          <w:tcPr>
            <w:tcW w:w="817" w:type="dxa"/>
            <w:vAlign w:val="center"/>
          </w:tcPr>
          <w:p w14:paraId="220DDD9A">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数量</w:t>
            </w:r>
          </w:p>
        </w:tc>
        <w:tc>
          <w:tcPr>
            <w:tcW w:w="1105" w:type="dxa"/>
            <w:vAlign w:val="center"/>
          </w:tcPr>
          <w:p w14:paraId="4E1EFB45">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单位</w:t>
            </w:r>
          </w:p>
        </w:tc>
        <w:tc>
          <w:tcPr>
            <w:tcW w:w="1610" w:type="dxa"/>
            <w:vAlign w:val="center"/>
          </w:tcPr>
          <w:p w14:paraId="4EB91704">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规格型号</w:t>
            </w:r>
          </w:p>
        </w:tc>
        <w:tc>
          <w:tcPr>
            <w:tcW w:w="1811" w:type="dxa"/>
            <w:vAlign w:val="center"/>
          </w:tcPr>
          <w:p w14:paraId="13B3EB17">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最高限价单价</w:t>
            </w:r>
          </w:p>
        </w:tc>
        <w:tc>
          <w:tcPr>
            <w:tcW w:w="1199" w:type="dxa"/>
            <w:vAlign w:val="center"/>
          </w:tcPr>
          <w:p w14:paraId="1542C25B">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最高限价总价</w:t>
            </w:r>
          </w:p>
        </w:tc>
        <w:tc>
          <w:tcPr>
            <w:tcW w:w="1117" w:type="dxa"/>
            <w:vAlign w:val="center"/>
          </w:tcPr>
          <w:p w14:paraId="44BEA68E">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备注</w:t>
            </w:r>
          </w:p>
        </w:tc>
      </w:tr>
      <w:tr w14:paraId="10AC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56" w:type="dxa"/>
            <w:vAlign w:val="center"/>
          </w:tcPr>
          <w:p w14:paraId="632CB492">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1</w:t>
            </w:r>
          </w:p>
        </w:tc>
        <w:tc>
          <w:tcPr>
            <w:tcW w:w="1426" w:type="dxa"/>
            <w:vAlign w:val="center"/>
          </w:tcPr>
          <w:p w14:paraId="0BFDB080">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乙级防火门10樘</w:t>
            </w:r>
          </w:p>
        </w:tc>
        <w:tc>
          <w:tcPr>
            <w:tcW w:w="817" w:type="dxa"/>
            <w:vAlign w:val="center"/>
          </w:tcPr>
          <w:p w14:paraId="3A68A6C1">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30</w:t>
            </w:r>
          </w:p>
        </w:tc>
        <w:tc>
          <w:tcPr>
            <w:tcW w:w="1105" w:type="dxa"/>
            <w:vAlign w:val="center"/>
          </w:tcPr>
          <w:p w14:paraId="7CA3B4C3">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宋体" w:hAnsi="宋体" w:eastAsia="宋体" w:cs="宋体"/>
                <w:b/>
                <w:bCs/>
                <w:i w:val="0"/>
                <w:strike w:val="0"/>
                <w:color w:val="auto"/>
                <w:kern w:val="2"/>
                <w:sz w:val="24"/>
                <w:szCs w:val="24"/>
                <w:highlight w:val="none"/>
                <w:u w:val="none"/>
                <w:vertAlign w:val="baseline"/>
                <w:lang w:val="en-US" w:eastAsia="zh-CN" w:bidi="ar-SA"/>
              </w:rPr>
              <w:t>㎡</w:t>
            </w:r>
          </w:p>
        </w:tc>
        <w:tc>
          <w:tcPr>
            <w:tcW w:w="1610" w:type="dxa"/>
            <w:vAlign w:val="center"/>
          </w:tcPr>
          <w:p w14:paraId="3F2B3523">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（±0.5</w:t>
            </w:r>
            <w:r>
              <w:rPr>
                <w:rFonts w:hint="eastAsia" w:ascii="宋体" w:hAnsi="宋体" w:eastAsia="宋体" w:cs="宋体"/>
                <w:b/>
                <w:bCs/>
                <w:i w:val="0"/>
                <w:strike w:val="0"/>
                <w:color w:val="auto"/>
                <w:kern w:val="2"/>
                <w:sz w:val="24"/>
                <w:szCs w:val="24"/>
                <w:highlight w:val="none"/>
                <w:u w:val="none"/>
                <w:vertAlign w:val="baseline"/>
                <w:lang w:val="en-US" w:eastAsia="zh-CN" w:bidi="ar-SA"/>
              </w:rPr>
              <w:t>㎡</w:t>
            </w:r>
            <w:r>
              <w:rPr>
                <w:rFonts w:hint="eastAsia" w:ascii="仿宋" w:hAnsi="仿宋" w:eastAsia="仿宋" w:cs="仿宋"/>
                <w:b/>
                <w:bCs/>
                <w:i w:val="0"/>
                <w:strike w:val="0"/>
                <w:color w:val="auto"/>
                <w:kern w:val="2"/>
                <w:sz w:val="24"/>
                <w:szCs w:val="24"/>
                <w:highlight w:val="none"/>
                <w:u w:val="none"/>
                <w:vertAlign w:val="baseline"/>
                <w:lang w:val="en-US" w:eastAsia="zh-CN" w:bidi="ar-SA"/>
              </w:rPr>
              <w:t>）</w:t>
            </w:r>
          </w:p>
        </w:tc>
        <w:tc>
          <w:tcPr>
            <w:tcW w:w="1811" w:type="dxa"/>
            <w:vAlign w:val="center"/>
          </w:tcPr>
          <w:p w14:paraId="0A513B34">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542.05</w:t>
            </w:r>
          </w:p>
        </w:tc>
        <w:tc>
          <w:tcPr>
            <w:tcW w:w="1199" w:type="dxa"/>
            <w:vAlign w:val="center"/>
          </w:tcPr>
          <w:p w14:paraId="0D9A34D4">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16261.5</w:t>
            </w:r>
          </w:p>
        </w:tc>
        <w:tc>
          <w:tcPr>
            <w:tcW w:w="1117" w:type="dxa"/>
            <w:vAlign w:val="center"/>
          </w:tcPr>
          <w:p w14:paraId="35C5405B">
            <w:pPr>
              <w:keepNext/>
              <w:keepLines/>
              <w:widowControl w:val="0"/>
              <w:spacing w:before="0" w:after="0" w:line="360" w:lineRule="auto"/>
              <w:jc w:val="both"/>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包干价</w:t>
            </w:r>
          </w:p>
        </w:tc>
      </w:tr>
      <w:tr w14:paraId="0EFA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vAlign w:val="center"/>
          </w:tcPr>
          <w:p w14:paraId="5B42E7B1">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2</w:t>
            </w:r>
          </w:p>
        </w:tc>
        <w:tc>
          <w:tcPr>
            <w:tcW w:w="1426" w:type="dxa"/>
            <w:vAlign w:val="center"/>
          </w:tcPr>
          <w:p w14:paraId="08F4B76D">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应急面包灯</w:t>
            </w:r>
          </w:p>
        </w:tc>
        <w:tc>
          <w:tcPr>
            <w:tcW w:w="817" w:type="dxa"/>
            <w:vAlign w:val="center"/>
          </w:tcPr>
          <w:p w14:paraId="4E51CAE0">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8</w:t>
            </w:r>
          </w:p>
        </w:tc>
        <w:tc>
          <w:tcPr>
            <w:tcW w:w="1105" w:type="dxa"/>
            <w:vAlign w:val="center"/>
          </w:tcPr>
          <w:p w14:paraId="38429BAA">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盏</w:t>
            </w:r>
          </w:p>
        </w:tc>
        <w:tc>
          <w:tcPr>
            <w:tcW w:w="1610" w:type="dxa"/>
            <w:vAlign w:val="center"/>
          </w:tcPr>
          <w:p w14:paraId="3F78E1B6">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w:t>
            </w:r>
          </w:p>
        </w:tc>
        <w:tc>
          <w:tcPr>
            <w:tcW w:w="1811" w:type="dxa"/>
            <w:vAlign w:val="center"/>
          </w:tcPr>
          <w:p w14:paraId="6393E99C">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120.00</w:t>
            </w:r>
          </w:p>
        </w:tc>
        <w:tc>
          <w:tcPr>
            <w:tcW w:w="1199" w:type="dxa"/>
            <w:vAlign w:val="center"/>
          </w:tcPr>
          <w:p w14:paraId="13BAF311">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960.00</w:t>
            </w:r>
          </w:p>
        </w:tc>
        <w:tc>
          <w:tcPr>
            <w:tcW w:w="1117" w:type="dxa"/>
            <w:vAlign w:val="center"/>
          </w:tcPr>
          <w:p w14:paraId="15C43DEA">
            <w:pPr>
              <w:keepNext/>
              <w:keepLines/>
              <w:widowControl w:val="0"/>
              <w:spacing w:before="0" w:after="0" w:line="36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符合国家消防标准</w:t>
            </w:r>
          </w:p>
        </w:tc>
      </w:tr>
    </w:tbl>
    <w:p w14:paraId="70CA8007">
      <w:pPr>
        <w:keepNext/>
        <w:keepLines/>
        <w:widowControl w:val="0"/>
        <w:spacing w:before="0" w:after="0" w:line="360" w:lineRule="auto"/>
        <w:jc w:val="both"/>
        <w:outlineLvl w:val="1"/>
        <w:rPr>
          <w:rFonts w:hint="eastAsia" w:ascii="仿宋" w:hAnsi="仿宋" w:eastAsia="仿宋" w:cs="仿宋"/>
          <w:b/>
          <w:bCs/>
          <w:i w:val="0"/>
          <w:strike w:val="0"/>
          <w:color w:val="auto"/>
          <w:kern w:val="2"/>
          <w:sz w:val="24"/>
          <w:szCs w:val="24"/>
          <w:highlight w:val="none"/>
          <w:u w:val="none"/>
          <w:lang w:val="en-US" w:eastAsia="zh-CN" w:bidi="ar-SA"/>
        </w:rPr>
      </w:pPr>
    </w:p>
    <w:p w14:paraId="7C13BCD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val="0"/>
          <w:i w:val="0"/>
          <w:strike w:val="0"/>
          <w:color w:val="auto"/>
          <w:kern w:val="0"/>
          <w:sz w:val="24"/>
          <w:szCs w:val="24"/>
          <w:highlight w:val="none"/>
          <w:u w:val="none"/>
          <w:lang w:val="en-US" w:eastAsia="zh-CN" w:bidi="ar"/>
        </w:rPr>
      </w:pPr>
      <w:r>
        <w:rPr>
          <w:rFonts w:hint="eastAsia" w:ascii="仿宋" w:hAnsi="仿宋" w:eastAsia="仿宋" w:cs="仿宋"/>
          <w:b/>
          <w:bCs w:val="0"/>
          <w:i w:val="0"/>
          <w:strike w:val="0"/>
          <w:color w:val="auto"/>
          <w:kern w:val="0"/>
          <w:sz w:val="24"/>
          <w:szCs w:val="24"/>
          <w:highlight w:val="none"/>
          <w:u w:val="none"/>
          <w:lang w:val="en-US" w:eastAsia="zh-CN" w:bidi="ar"/>
        </w:rPr>
        <w:t>产品技术标准</w:t>
      </w:r>
    </w:p>
    <w:p w14:paraId="20F1A70B">
      <w:pPr>
        <w:spacing w:line="360" w:lineRule="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1.防火门性能指标</w:t>
      </w:r>
    </w:p>
    <w:p w14:paraId="47B632DF">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耐火等级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乙级防火门：耐火完整性 ≥ 1.0小时（60分钟），背火面平均温升 ≤ 140℃，单点温升 ≤ 180℃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烟密闭性能要求；  </w:t>
      </w:r>
    </w:p>
    <w:p w14:paraId="12B9F65B">
      <w:pPr>
        <w:spacing w:line="360"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门扇：钢木复合结构（钢骨架+木质填充或钢质面板+木质芯材），填充材料必须为不燃性材料（如珍珠岩、岩棉等） </w:t>
      </w:r>
      <w:r>
        <w:rPr>
          <w:rFonts w:hint="eastAsia" w:ascii="仿宋" w:hAnsi="仿宋" w:eastAsia="仿宋" w:cs="仿宋"/>
          <w:sz w:val="24"/>
          <w:szCs w:val="24"/>
          <w:highlight w:val="none"/>
          <w:lang w:eastAsia="zh-CN"/>
        </w:rPr>
        <w:t>。</w:t>
      </w:r>
    </w:p>
    <w:p w14:paraId="7C10D1FC">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门框/门扇厚度：乙级门扇厚度通常 ≥ 45mm，门框钢板厚度 ≥ 1.2mm，门扇钢板 ≥ 0.8mm（具体以检测报告为准） 。</w:t>
      </w:r>
    </w:p>
    <w:p w14:paraId="20C7FD0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表面处理：静电喷涂工艺，涂层厚度 ≥ 20μm，颜色需</w:t>
      </w:r>
      <w:r>
        <w:rPr>
          <w:rFonts w:hint="eastAsia" w:ascii="仿宋" w:hAnsi="仿宋" w:eastAsia="仿宋" w:cs="仿宋"/>
          <w:sz w:val="24"/>
          <w:szCs w:val="24"/>
          <w:highlight w:val="none"/>
          <w:lang w:val="en-US" w:eastAsia="zh-CN"/>
        </w:rPr>
        <w:t>求现场察看与院内防火门一致</w:t>
      </w:r>
      <w:r>
        <w:rPr>
          <w:rFonts w:hint="eastAsia" w:ascii="仿宋" w:hAnsi="仿宋" w:eastAsia="仿宋" w:cs="仿宋"/>
          <w:sz w:val="24"/>
          <w:szCs w:val="24"/>
          <w:highlight w:val="none"/>
        </w:rPr>
        <w:t>。</w:t>
      </w:r>
    </w:p>
    <w:p w14:paraId="396F997F">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rPr>
        <w:t>常闭式功能要求</w:t>
      </w:r>
    </w:p>
    <w:p w14:paraId="4F7D2894">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自动闭合功能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必须配备闭门器，确保门扇开启后能自动关闭，闭合时间 ≤ 3~60秒 。闭门器闭合力 ≥ 30N，定期测试有效性（每月1次） 。</w:t>
      </w:r>
    </w:p>
    <w:p w14:paraId="19BA8E6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密封性能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门扇与门框缝隙：两侧 ≤ 4mm，上侧 ≤ 3mm，并加装防火膨胀密封条，火灾时自动膨胀封堵缝隙 。</w:t>
      </w:r>
    </w:p>
    <w:p w14:paraId="71CC53DE">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配件与五金要求</w:t>
      </w:r>
    </w:p>
    <w:p w14:paraId="0D3CA6F4">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铰链</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钢质材料，≥3个，承重 ≥ 800N，需通过耐火测试 。</w:t>
      </w:r>
    </w:p>
    <w:p w14:paraId="322FCA87">
      <w:pPr>
        <w:spacing w:line="360" w:lineRule="auto"/>
        <w:rPr>
          <w:rFonts w:hint="eastAsia" w:ascii="仿宋" w:hAnsi="仿宋" w:eastAsia="仿宋" w:cs="仿宋"/>
          <w:b/>
          <w:bCs w:val="0"/>
          <w:i w:val="0"/>
          <w:strike w:val="0"/>
          <w:color w:val="auto"/>
          <w:kern w:val="0"/>
          <w:sz w:val="24"/>
          <w:szCs w:val="24"/>
          <w:highlight w:val="none"/>
          <w:u w:val="none"/>
          <w:lang w:val="en-US" w:eastAsia="zh-CN" w:bidi="ar"/>
        </w:rPr>
      </w:pPr>
      <w:r>
        <w:rPr>
          <w:rFonts w:hint="eastAsia" w:ascii="仿宋" w:hAnsi="仿宋" w:eastAsia="仿宋" w:cs="仿宋"/>
          <w:sz w:val="24"/>
          <w:szCs w:val="24"/>
          <w:highlight w:val="none"/>
        </w:rPr>
        <w:t>顺序器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双扇门需配顺序器，确保两扇门按序关闭，缝隙严密。</w:t>
      </w:r>
      <w:bookmarkStart w:id="2" w:name="_GoBack"/>
      <w:bookmarkEnd w:id="2"/>
    </w:p>
    <w:p w14:paraId="70C0498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施工安装要求</w:t>
      </w:r>
    </w:p>
    <w:p w14:paraId="2180C48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1.供应商负责原有老旧防火门、废弃门框的拆除、清运、现场清理，做到工完场清，不影响医院正常诊疗秩序。</w:t>
      </w:r>
    </w:p>
    <w:p w14:paraId="56E6C0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2.施工过程严格遵守医院消防安全、环境卫生管理规定，采取降噪、防尘防护措施，避开诊疗高峰施工，保护院区原有设施设备。</w:t>
      </w:r>
    </w:p>
    <w:p w14:paraId="2A7B341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3.安装工艺符合消防施工规范，门框固定牢固、门扇启闭灵活、密封严密，消防标识齐全规范，确保一次性通过消防验收及院方验收。</w:t>
      </w:r>
    </w:p>
    <w:p w14:paraId="4BF03703">
      <w:pPr>
        <w:spacing w:line="360" w:lineRule="auto"/>
        <w:ind w:firstLine="482" w:firstLineChars="200"/>
        <w:jc w:val="both"/>
        <w:rPr>
          <w:rFonts w:hint="eastAsia" w:ascii="仿宋" w:hAnsi="仿宋" w:eastAsia="仿宋" w:cs="仿宋"/>
          <w:b/>
          <w:bCs/>
          <w:i w:val="0"/>
          <w:strike w:val="0"/>
          <w:color w:val="auto"/>
          <w:kern w:val="2"/>
          <w:sz w:val="24"/>
          <w:szCs w:val="24"/>
          <w:highlight w:val="none"/>
          <w:u w:val="none"/>
          <w:lang w:val="en-US" w:eastAsia="zh-CN" w:bidi="ar-SA"/>
        </w:rPr>
      </w:pPr>
      <w:r>
        <w:rPr>
          <w:rFonts w:hint="eastAsia" w:ascii="仿宋" w:hAnsi="仿宋" w:eastAsia="仿宋" w:cs="仿宋"/>
          <w:b/>
          <w:bCs/>
          <w:i w:val="0"/>
          <w:strike w:val="0"/>
          <w:color w:val="auto"/>
          <w:kern w:val="2"/>
          <w:sz w:val="24"/>
          <w:szCs w:val="24"/>
          <w:highlight w:val="none"/>
          <w:u w:val="none"/>
          <w:lang w:val="en-US" w:eastAsia="zh-CN" w:bidi="ar-SA"/>
        </w:rPr>
        <w:t>★二、服务要求</w:t>
      </w:r>
    </w:p>
    <w:p w14:paraId="1C9E82E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1.履约地点：</w:t>
      </w:r>
      <w:r>
        <w:rPr>
          <w:rFonts w:hint="eastAsia" w:ascii="仿宋" w:hAnsi="仿宋" w:eastAsia="仿宋" w:cs="仿宋"/>
          <w:b w:val="0"/>
          <w:i w:val="0"/>
          <w:strike w:val="0"/>
          <w:color w:val="auto"/>
          <w:kern w:val="0"/>
          <w:sz w:val="24"/>
          <w:szCs w:val="24"/>
          <w:highlight w:val="none"/>
          <w:u w:val="none"/>
          <w:lang w:val="en-US" w:eastAsia="zh-CN" w:bidi="ar"/>
        </w:rPr>
        <w:t>宜宾市第五人民医院。</w:t>
      </w:r>
    </w:p>
    <w:p w14:paraId="2EA20A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2.服务工期</w:t>
      </w:r>
      <w:r>
        <w:rPr>
          <w:rFonts w:hint="eastAsia" w:ascii="仿宋" w:hAnsi="仿宋" w:eastAsia="仿宋" w:cs="仿宋"/>
          <w:b w:val="0"/>
          <w:i w:val="0"/>
          <w:strike w:val="0"/>
          <w:color w:val="auto"/>
          <w:kern w:val="0"/>
          <w:sz w:val="24"/>
          <w:szCs w:val="24"/>
          <w:highlight w:val="none"/>
          <w:u w:val="none"/>
          <w:lang w:val="en-US" w:eastAsia="zh-CN" w:bidi="ar"/>
        </w:rPr>
        <w:t>：合同签订后15个日历日内完成安装、调试，整体交付使用。</w:t>
      </w:r>
    </w:p>
    <w:p w14:paraId="1FE00E13">
      <w:pPr>
        <w:tabs>
          <w:tab w:val="left" w:pos="0"/>
        </w:tabs>
        <w:spacing w:line="360" w:lineRule="auto"/>
        <w:ind w:firstLine="482" w:firstLineChars="200"/>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3.付款方式</w:t>
      </w:r>
      <w:r>
        <w:rPr>
          <w:rFonts w:hint="eastAsia" w:ascii="仿宋" w:hAnsi="仿宋" w:eastAsia="仿宋" w:cs="仿宋"/>
          <w:b w:val="0"/>
          <w:i w:val="0"/>
          <w:strike w:val="0"/>
          <w:color w:val="auto"/>
          <w:kern w:val="0"/>
          <w:sz w:val="24"/>
          <w:szCs w:val="24"/>
          <w:highlight w:val="none"/>
          <w:u w:val="none"/>
          <w:lang w:val="en-US" w:eastAsia="zh-CN" w:bidi="ar"/>
        </w:rPr>
        <w:t>：验收合格之日起，采购人接到成交供应商通知与票据凭证资料后的30日内，向成交供应商支付合同总金额的95%款项，验收合格后一年支付5%。（成交供应商须向采购人出具合法有效完整的增值税发票及凭证资料进行支付结算）。</w:t>
      </w:r>
    </w:p>
    <w:p w14:paraId="39138B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4.报价要求</w:t>
      </w:r>
      <w:bookmarkStart w:id="1" w:name="_Hlk25309575"/>
      <w:r>
        <w:rPr>
          <w:rFonts w:hint="eastAsia" w:ascii="仿宋" w:hAnsi="仿宋" w:eastAsia="仿宋" w:cs="仿宋"/>
          <w:b w:val="0"/>
          <w:i w:val="0"/>
          <w:strike w:val="0"/>
          <w:color w:val="auto"/>
          <w:kern w:val="0"/>
          <w:sz w:val="24"/>
          <w:szCs w:val="24"/>
          <w:highlight w:val="none"/>
          <w:u w:val="none"/>
          <w:lang w:val="en-US" w:eastAsia="zh-CN" w:bidi="ar"/>
        </w:rPr>
        <w:t>：</w:t>
      </w:r>
      <w:bookmarkEnd w:id="1"/>
      <w:r>
        <w:rPr>
          <w:rFonts w:hint="eastAsia" w:ascii="仿宋" w:hAnsi="仿宋" w:eastAsia="仿宋" w:cs="仿宋"/>
          <w:b w:val="0"/>
          <w:i w:val="0"/>
          <w:strike w:val="0"/>
          <w:color w:val="auto"/>
          <w:kern w:val="0"/>
          <w:sz w:val="24"/>
          <w:szCs w:val="24"/>
          <w:highlight w:val="none"/>
          <w:u w:val="none"/>
          <w:lang w:val="en-US" w:eastAsia="zh-CN" w:bidi="ar"/>
        </w:rPr>
        <w:t>供应商的报价是供应商响应采购项目要求的全部工作内容的价格体现，其总价即为履行合同的固定价格。报价包含旧防火门拆除、新防火门安装、人工、灌浆、配件、运输、安装、调试及售后质保服务等。除此之外，采购人不再另行向供应商支付其他费用。</w:t>
      </w:r>
    </w:p>
    <w:p w14:paraId="630258E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4.售后服务要求</w:t>
      </w:r>
    </w:p>
    <w:p w14:paraId="36509DF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bCs/>
          <w:i w:val="0"/>
          <w:strike w:val="0"/>
          <w:color w:val="auto"/>
          <w:kern w:val="0"/>
          <w:sz w:val="24"/>
          <w:szCs w:val="24"/>
          <w:highlight w:val="none"/>
          <w:u w:val="none"/>
          <w:lang w:val="en-US" w:eastAsia="zh-CN" w:bidi="ar"/>
        </w:rPr>
      </w:pPr>
      <w:r>
        <w:rPr>
          <w:rFonts w:hint="eastAsia" w:ascii="仿宋" w:hAnsi="仿宋" w:eastAsia="仿宋" w:cs="仿宋"/>
          <w:b w:val="0"/>
          <w:bCs/>
          <w:i w:val="0"/>
          <w:strike w:val="0"/>
          <w:color w:val="auto"/>
          <w:kern w:val="0"/>
          <w:sz w:val="24"/>
          <w:szCs w:val="24"/>
          <w:highlight w:val="none"/>
          <w:u w:val="none"/>
          <w:lang w:val="en-US" w:eastAsia="zh-CN" w:bidi="ar"/>
        </w:rPr>
        <w:t>1.自验收合格日起，质保期不少于2年，质保期内免费提供维修、更换配件、调试服务，非人为损坏全部免费维保。</w:t>
      </w:r>
    </w:p>
    <w:p w14:paraId="2FD67A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bCs/>
          <w:i w:val="0"/>
          <w:strike w:val="0"/>
          <w:color w:val="auto"/>
          <w:kern w:val="0"/>
          <w:sz w:val="24"/>
          <w:szCs w:val="24"/>
          <w:highlight w:val="none"/>
          <w:u w:val="none"/>
          <w:lang w:val="en-US" w:eastAsia="zh-CN" w:bidi="ar"/>
        </w:rPr>
      </w:pPr>
      <w:r>
        <w:rPr>
          <w:rFonts w:hint="eastAsia" w:ascii="仿宋" w:hAnsi="仿宋" w:eastAsia="仿宋" w:cs="仿宋"/>
          <w:b w:val="0"/>
          <w:bCs/>
          <w:i w:val="0"/>
          <w:strike w:val="0"/>
          <w:color w:val="auto"/>
          <w:kern w:val="0"/>
          <w:sz w:val="24"/>
          <w:szCs w:val="24"/>
          <w:highlight w:val="none"/>
          <w:u w:val="none"/>
          <w:lang w:val="en-US" w:eastAsia="zh-CN" w:bidi="ar"/>
        </w:rPr>
        <w:t>2.提供7×24小时应急售后响应服务，接到故障报修后，本地2小时内到场处理，4小时内解决故障，保障院区消防安全。</w:t>
      </w:r>
    </w:p>
    <w:p w14:paraId="4ECE856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bCs/>
          <w:i w:val="0"/>
          <w:strike w:val="0"/>
          <w:color w:val="auto"/>
          <w:kern w:val="0"/>
          <w:sz w:val="24"/>
          <w:szCs w:val="24"/>
          <w:highlight w:val="none"/>
          <w:u w:val="none"/>
          <w:lang w:val="en-US" w:eastAsia="zh-CN" w:bidi="ar"/>
        </w:rPr>
      </w:pPr>
      <w:r>
        <w:rPr>
          <w:rFonts w:hint="eastAsia" w:ascii="仿宋" w:hAnsi="仿宋" w:eastAsia="仿宋" w:cs="仿宋"/>
          <w:b w:val="0"/>
          <w:bCs/>
          <w:i w:val="0"/>
          <w:strike w:val="0"/>
          <w:color w:val="auto"/>
          <w:kern w:val="0"/>
          <w:sz w:val="24"/>
          <w:szCs w:val="24"/>
          <w:highlight w:val="none"/>
          <w:u w:val="none"/>
          <w:lang w:val="en-US" w:eastAsia="zh-CN" w:bidi="ar"/>
        </w:rPr>
        <w:t>3.质保期满后，终身提供成本价维修、配件更换服务，定期上门巡检维护。</w:t>
      </w:r>
    </w:p>
    <w:p w14:paraId="697165E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5.验收：</w:t>
      </w:r>
    </w:p>
    <w:p w14:paraId="73D142C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1.采购人和相关部门按照国家规定组织专家组进行验收，没有国家标准的按行业标准验收，无行业标准的按地方或企业标准验收，成交供应商予以配合。同时验收时将严格对照本项目谈判文件及成交供应商的响应文件进行验收，若发现有一项与本项目谈判文件或成交供应商响应文件有冲突的地方，采购人将不予验收，并不予支付采购资金，并且由此引发的一切损失由成交供应商承担。</w:t>
      </w:r>
    </w:p>
    <w:p w14:paraId="2828D8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2.完成维修服务后，供应商验收申请之日起30日内，组织对采购项目进行验收。</w:t>
      </w:r>
    </w:p>
    <w:p w14:paraId="1692AB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3.其他未尽事宜应严格按照《财政部关于进一步加强政府采购需求和履约验收管理的指导意见》(财库〔2016〕205号)的要求进行验收。</w:t>
      </w:r>
    </w:p>
    <w:p w14:paraId="759155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4.验收结果合格的，采购人向成交供应商支付剩余采购资金；验收结果不合格的，也将不予支付采购资金。</w:t>
      </w:r>
    </w:p>
    <w:p w14:paraId="04F21E7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5.安装后由医院组织验收，核对规格、数量、外观，邀请我院现有第三方消防维保公司检查产品证书（CCCF 消防产品认证证书（中国消防产品合格评定中心） ，第三方检测报告（国家消防产品质量监督检验中心出具，含耐火极限、烟密性等） ，产品合格证、材质证明、安装说明书等）及质量，并测试闭门器闭合时间、缝隙宽度、密封条完整性。</w:t>
      </w:r>
    </w:p>
    <w:p w14:paraId="700EB33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 xml:space="preserve">7.违约责任 </w:t>
      </w:r>
    </w:p>
    <w:p w14:paraId="1FBB743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7.1采购人违约责任采购人逾期支付服务款的,除应及时付足外,应向供应商偿付欠款总额万分之一/天的违约金；逾期付款超过90天的,供应商有权终止合同。</w:t>
      </w:r>
    </w:p>
    <w:p w14:paraId="04CCFC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7.2供应商违约责任 </w:t>
      </w:r>
    </w:p>
    <w:p w14:paraId="460806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1）供应商交付的维修服务不符合合同规定的,供应商应向采购人支付合同总价的百分之五的违约金,并须在合同规定的维修时间内完成维修并保障采购人正常使用,否则,视作供应商不能交付服务而违约,按本条本款下述第“(2)”项规定由供应商偿付违约金给采购人。 </w:t>
      </w:r>
    </w:p>
    <w:p w14:paraId="005C2BD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2）供应商不能交付服务或逾期交付服务而违约的,除应及时交付外,应向采购人偿付逾期交付款项总额的万分之十/天的违约金；逾期交付超过10天,采购人有权终止合同,供应商则应按合同总价的百分之十的款额向采购人偿付违约金,并须全额退还采购人已经付给供应商的款项及其利息。</w:t>
      </w:r>
    </w:p>
    <w:p w14:paraId="0AE913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3）供应商保证本合同的权利无瑕疵,包括服务所涉及的配件所有权及知识产权等权利无瑕疵。如任何第三方经法院(或仲裁机构)裁决有权对上述货物主张权利或国家机关依法对货物进行没收查处的,供应商除应向采购人返还已收款项外,还应另按合同总价的百分之十向采购人支付违约金。 </w:t>
      </w:r>
    </w:p>
    <w:p w14:paraId="35C049C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（4）供应商偿付的违约金不足以弥补采购人损失的,还应按采购人损失尚未弥补的部分,支付给采购人。</w:t>
      </w:r>
    </w:p>
    <w:p w14:paraId="0C574C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5）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 </w:t>
      </w:r>
    </w:p>
    <w:p w14:paraId="295487A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 xml:space="preserve">八、争议解决办法 </w:t>
      </w:r>
    </w:p>
    <w:p w14:paraId="43CE064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default"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合同履行期间,若双方发生争议，可协商或由有关部门调解解决，协商或调解不成的，由当事人依法维护其合法权益，并由采购人所在地人民法院管辖。</w:t>
      </w:r>
    </w:p>
    <w:p w14:paraId="7EFACD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p>
    <w:p w14:paraId="1B4559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注：1.本章实质性条款，供应商必须满足；未满足，按照无效响应处理；</w:t>
      </w:r>
    </w:p>
    <w:p w14:paraId="6234624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2.本章节内容在谈判过程中，谈判小组在获得采购人代表确认的前提下，可以根据谈判情况实质性变动相关内容。谈判小组对谈判文件作出的实质性变动是谈判文件的有效组成部分。</w:t>
      </w:r>
    </w:p>
    <w:p w14:paraId="0AEEC734">
      <w:pPr>
        <w:spacing w:line="360" w:lineRule="auto"/>
        <w:rPr>
          <w:b/>
          <w:bCs/>
          <w:highlight w:val="none"/>
        </w:rPr>
      </w:pPr>
    </w:p>
    <w:p w14:paraId="7063BE00">
      <w:pPr>
        <w:keepNext w:val="0"/>
        <w:keepLines w:val="0"/>
        <w:widowControl/>
        <w:suppressLineNumbers w:val="0"/>
        <w:spacing w:after="120" w:line="360" w:lineRule="auto"/>
        <w:jc w:val="both"/>
        <w:rPr>
          <w:rFonts w:hint="eastAsia" w:ascii="仿宋" w:hAnsi="仿宋" w:eastAsia="仿宋" w:cs="仿宋"/>
          <w:b w:val="0"/>
          <w:i w:val="0"/>
          <w:strike w:val="0"/>
          <w:color w:val="auto"/>
          <w:kern w:val="0"/>
          <w:sz w:val="24"/>
          <w:szCs w:val="24"/>
          <w:highlight w:val="none"/>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6F29E5"/>
    <w:multiLevelType w:val="singleLevel"/>
    <w:tmpl w:val="556F29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277C9"/>
    <w:rsid w:val="025F787A"/>
    <w:rsid w:val="028D5DC9"/>
    <w:rsid w:val="03C17334"/>
    <w:rsid w:val="06D53145"/>
    <w:rsid w:val="0EE35732"/>
    <w:rsid w:val="16A66988"/>
    <w:rsid w:val="18095344"/>
    <w:rsid w:val="18E124D7"/>
    <w:rsid w:val="1B1C6BDA"/>
    <w:rsid w:val="1CB71BD2"/>
    <w:rsid w:val="21090163"/>
    <w:rsid w:val="26DF6E71"/>
    <w:rsid w:val="28C11017"/>
    <w:rsid w:val="30B40647"/>
    <w:rsid w:val="331210F9"/>
    <w:rsid w:val="38877E93"/>
    <w:rsid w:val="40310AAC"/>
    <w:rsid w:val="40E14FD6"/>
    <w:rsid w:val="42333799"/>
    <w:rsid w:val="444529B0"/>
    <w:rsid w:val="46D15CF5"/>
    <w:rsid w:val="4A620295"/>
    <w:rsid w:val="4B8059D0"/>
    <w:rsid w:val="540B6226"/>
    <w:rsid w:val="548226C0"/>
    <w:rsid w:val="557064FF"/>
    <w:rsid w:val="561128A8"/>
    <w:rsid w:val="5A044AC5"/>
    <w:rsid w:val="5A9A1850"/>
    <w:rsid w:val="5B435A44"/>
    <w:rsid w:val="5C0B21C5"/>
    <w:rsid w:val="650E70C3"/>
    <w:rsid w:val="6DA374CC"/>
    <w:rsid w:val="6EF57DEC"/>
    <w:rsid w:val="70D82090"/>
    <w:rsid w:val="71A91862"/>
    <w:rsid w:val="76C21EBA"/>
    <w:rsid w:val="7740176A"/>
    <w:rsid w:val="79381593"/>
    <w:rsid w:val="79533E8D"/>
    <w:rsid w:val="7F272163"/>
    <w:rsid w:val="7F82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2339</Words>
  <Characters>2443</Characters>
  <Lines>0</Lines>
  <Paragraphs>0</Paragraphs>
  <TotalTime>28</TotalTime>
  <ScaleCrop>false</ScaleCrop>
  <LinksUpToDate>false</LinksUpToDate>
  <CharactersWithSpaces>2486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2026-08-11T02:24:00Z</dcterms:created>
  <dc:creator>asus</dc:creator>
  <cp:lastModifiedBy>小情绪</cp:lastModifiedBy>
  <cp:lastPrinted>2026-08-19T03:34:00Z</cp:lastPrinted>
  <dcterms:modified xsi:type="dcterms:W3CDTF">2026-08-24T02:31:45Z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00D63D8DA9874212A90BB9D1377C4213_12</vt:lpwstr>
  </property>
</Properties>
</file>