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7C22AE">
      <w:pPr>
        <w:pStyle w:val="2"/>
        <w:numPr>
          <w:ilvl w:val="0"/>
          <w:numId w:val="0"/>
        </w:numPr>
        <w:ind w:leftChars="0" w:right="0" w:rightChars="0"/>
        <w:jc w:val="both"/>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附件2：报价单</w:t>
      </w:r>
    </w:p>
    <w:p w14:paraId="6B7A2510">
      <w:pPr>
        <w:jc w:val="both"/>
        <w:rPr>
          <w:rFonts w:hint="default" w:ascii="仿宋" w:hAnsi="仿宋" w:eastAsia="仿宋" w:cs="仿宋"/>
          <w:b w:val="0"/>
          <w:bCs w:val="0"/>
          <w:i w:val="0"/>
          <w:iCs w:val="0"/>
          <w:caps w:val="0"/>
          <w:color w:val="auto"/>
          <w:spacing w:val="0"/>
          <w:kern w:val="44"/>
          <w:sz w:val="28"/>
          <w:szCs w:val="28"/>
          <w:shd w:val="clear" w:fill="FFFFFF"/>
          <w:lang w:val="en-US" w:eastAsia="zh-CN" w:bidi="ar"/>
        </w:rPr>
      </w:pPr>
      <w:r>
        <w:rPr>
          <w:rFonts w:hint="eastAsia" w:ascii="仿宋" w:hAnsi="仿宋" w:eastAsia="仿宋" w:cs="仿宋"/>
          <w:b w:val="0"/>
          <w:bCs w:val="0"/>
          <w:kern w:val="2"/>
          <w:sz w:val="28"/>
          <w:szCs w:val="28"/>
          <w:lang w:val="en-US" w:eastAsia="zh-CN" w:bidi="ar-SA"/>
        </w:rPr>
        <w:t>项目编号：</w:t>
      </w:r>
      <w:r>
        <w:rPr>
          <w:rFonts w:hint="eastAsia" w:ascii="仿宋" w:hAnsi="仿宋" w:eastAsia="仿宋" w:cs="仿宋"/>
          <w:b w:val="0"/>
          <w:bCs w:val="0"/>
          <w:i w:val="0"/>
          <w:iCs w:val="0"/>
          <w:caps w:val="0"/>
          <w:color w:val="auto"/>
          <w:spacing w:val="0"/>
          <w:kern w:val="44"/>
          <w:sz w:val="28"/>
          <w:szCs w:val="28"/>
          <w:shd w:val="clear" w:fill="FFFFFF"/>
          <w:lang w:val="en-US" w:eastAsia="zh-CN" w:bidi="ar"/>
        </w:rPr>
        <w:t>YWYCG-2026-029</w:t>
      </w:r>
    </w:p>
    <w:p w14:paraId="3CCF0EB1">
      <w:pPr>
        <w:jc w:val="left"/>
        <w:rPr>
          <w:rFonts w:hint="eastAsia" w:ascii="仿宋" w:hAnsi="仿宋" w:eastAsia="仿宋" w:cs="仿宋"/>
          <w:b w:val="0"/>
          <w:bCs w:val="0"/>
          <w:i w:val="0"/>
          <w:iCs w:val="0"/>
          <w:caps w:val="0"/>
          <w:color w:val="auto"/>
          <w:spacing w:val="0"/>
          <w:kern w:val="44"/>
          <w:sz w:val="28"/>
          <w:szCs w:val="28"/>
          <w:shd w:val="clear" w:fill="FFFFFF"/>
          <w:lang w:val="en-US" w:eastAsia="zh-CN" w:bidi="ar"/>
        </w:rPr>
      </w:pPr>
      <w:r>
        <w:rPr>
          <w:rFonts w:hint="eastAsia" w:ascii="仿宋" w:hAnsi="仿宋" w:eastAsia="仿宋" w:cs="仿宋"/>
          <w:b w:val="0"/>
          <w:bCs w:val="0"/>
          <w:kern w:val="2"/>
          <w:sz w:val="28"/>
          <w:szCs w:val="28"/>
          <w:lang w:val="en-US" w:eastAsia="zh-CN" w:bidi="ar-SA"/>
        </w:rPr>
        <w:t>项目名称：</w:t>
      </w:r>
      <w:r>
        <w:rPr>
          <w:rFonts w:hint="eastAsia" w:ascii="仿宋" w:hAnsi="仿宋" w:eastAsia="仿宋" w:cs="仿宋"/>
          <w:b w:val="0"/>
          <w:bCs w:val="0"/>
          <w:kern w:val="2"/>
          <w:sz w:val="28"/>
          <w:szCs w:val="28"/>
          <w:lang w:val="en-US" w:eastAsia="zh-CN" w:bidi="ar-SA"/>
        </w:rPr>
        <w:t>宜宾市第五人民医院防火门、应急面包灯采购项目</w:t>
      </w:r>
    </w:p>
    <w:tbl>
      <w:tblPr>
        <w:tblStyle w:val="4"/>
        <w:tblW w:w="88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5"/>
        <w:gridCol w:w="1617"/>
        <w:gridCol w:w="1494"/>
        <w:gridCol w:w="1053"/>
        <w:gridCol w:w="1347"/>
        <w:gridCol w:w="1260"/>
        <w:gridCol w:w="1260"/>
      </w:tblGrid>
      <w:tr w14:paraId="19C7D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trPr>
        <w:tc>
          <w:tcPr>
            <w:tcW w:w="785" w:type="dxa"/>
            <w:vAlign w:val="center"/>
          </w:tcPr>
          <w:p w14:paraId="603D0243">
            <w:pPr>
              <w:keepNext/>
              <w:keepLines/>
              <w:widowControl w:val="0"/>
              <w:spacing w:before="0" w:after="0" w:line="240" w:lineRule="auto"/>
              <w:jc w:val="center"/>
              <w:outlineLvl w:val="1"/>
              <w:rPr>
                <w:rFonts w:hint="eastAsia"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序号</w:t>
            </w:r>
          </w:p>
        </w:tc>
        <w:tc>
          <w:tcPr>
            <w:tcW w:w="1617" w:type="dxa"/>
            <w:vAlign w:val="center"/>
          </w:tcPr>
          <w:p w14:paraId="5CC748C6">
            <w:pPr>
              <w:keepNext/>
              <w:keepLines/>
              <w:widowControl w:val="0"/>
              <w:spacing w:before="0" w:after="0" w:line="240" w:lineRule="auto"/>
              <w:jc w:val="center"/>
              <w:outlineLvl w:val="1"/>
              <w:rPr>
                <w:rFonts w:hint="eastAsia"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产品名称</w:t>
            </w:r>
          </w:p>
        </w:tc>
        <w:tc>
          <w:tcPr>
            <w:tcW w:w="1494" w:type="dxa"/>
            <w:vAlign w:val="center"/>
          </w:tcPr>
          <w:p w14:paraId="220DDD9A">
            <w:pPr>
              <w:keepNext/>
              <w:keepLines/>
              <w:widowControl w:val="0"/>
              <w:spacing w:before="0" w:after="0" w:line="240" w:lineRule="auto"/>
              <w:jc w:val="center"/>
              <w:outlineLvl w:val="1"/>
              <w:rPr>
                <w:rFonts w:hint="eastAsia"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数量</w:t>
            </w:r>
          </w:p>
        </w:tc>
        <w:tc>
          <w:tcPr>
            <w:tcW w:w="1053" w:type="dxa"/>
            <w:vAlign w:val="center"/>
          </w:tcPr>
          <w:p w14:paraId="4E1EFB45">
            <w:pPr>
              <w:keepNext/>
              <w:keepLines/>
              <w:widowControl w:val="0"/>
              <w:spacing w:before="0" w:after="0" w:line="240" w:lineRule="auto"/>
              <w:jc w:val="center"/>
              <w:outlineLvl w:val="1"/>
              <w:rPr>
                <w:rFonts w:hint="eastAsia"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单位</w:t>
            </w:r>
          </w:p>
        </w:tc>
        <w:tc>
          <w:tcPr>
            <w:tcW w:w="1347" w:type="dxa"/>
            <w:vAlign w:val="center"/>
          </w:tcPr>
          <w:p w14:paraId="13B3EB17">
            <w:pPr>
              <w:keepNext/>
              <w:keepLines/>
              <w:widowControl w:val="0"/>
              <w:spacing w:before="0" w:after="0" w:line="240" w:lineRule="auto"/>
              <w:jc w:val="center"/>
              <w:outlineLvl w:val="1"/>
              <w:rPr>
                <w:rFonts w:hint="eastAsia"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响应单价</w:t>
            </w:r>
          </w:p>
        </w:tc>
        <w:tc>
          <w:tcPr>
            <w:tcW w:w="1260" w:type="dxa"/>
            <w:vAlign w:val="center"/>
          </w:tcPr>
          <w:p w14:paraId="1542C25B">
            <w:pPr>
              <w:keepNext/>
              <w:keepLines/>
              <w:widowControl w:val="0"/>
              <w:spacing w:before="0" w:after="0" w:line="240" w:lineRule="auto"/>
              <w:jc w:val="center"/>
              <w:outlineLvl w:val="1"/>
              <w:rPr>
                <w:rFonts w:hint="eastAsia"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响应总价</w:t>
            </w:r>
          </w:p>
        </w:tc>
        <w:tc>
          <w:tcPr>
            <w:tcW w:w="1260" w:type="dxa"/>
            <w:vAlign w:val="center"/>
          </w:tcPr>
          <w:p w14:paraId="44BEA68E">
            <w:pPr>
              <w:keepNext/>
              <w:keepLines/>
              <w:widowControl w:val="0"/>
              <w:spacing w:before="0" w:after="0" w:line="240" w:lineRule="auto"/>
              <w:jc w:val="center"/>
              <w:outlineLvl w:val="1"/>
              <w:rPr>
                <w:rFonts w:hint="eastAsia" w:ascii="仿宋" w:hAnsi="仿宋" w:eastAsia="仿宋" w:cs="仿宋"/>
                <w:b/>
                <w:bCs/>
                <w:i w:val="0"/>
                <w:strike w:val="0"/>
                <w:color w:val="auto"/>
                <w:kern w:val="2"/>
                <w:sz w:val="24"/>
                <w:szCs w:val="24"/>
                <w:highlight w:val="none"/>
                <w:u w:val="non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备注</w:t>
            </w:r>
          </w:p>
        </w:tc>
      </w:tr>
      <w:tr w14:paraId="10AC9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trPr>
        <w:tc>
          <w:tcPr>
            <w:tcW w:w="785" w:type="dxa"/>
            <w:vAlign w:val="center"/>
          </w:tcPr>
          <w:p w14:paraId="632CB492">
            <w:pPr>
              <w:keepNext/>
              <w:keepLines/>
              <w:widowControl w:val="0"/>
              <w:spacing w:before="0" w:after="0" w:line="240" w:lineRule="auto"/>
              <w:jc w:val="center"/>
              <w:outlineLvl w:val="1"/>
              <w:rPr>
                <w:rFonts w:hint="eastAsia" w:ascii="仿宋" w:hAnsi="仿宋" w:eastAsia="仿宋" w:cs="仿宋"/>
                <w:b w:val="0"/>
                <w:bCs w:val="0"/>
                <w:i w:val="0"/>
                <w:strike w:val="0"/>
                <w:color w:val="auto"/>
                <w:kern w:val="2"/>
                <w:sz w:val="24"/>
                <w:szCs w:val="24"/>
                <w:highlight w:val="none"/>
                <w:u w:val="none"/>
                <w:vertAlign w:val="baseline"/>
                <w:lang w:val="en-US" w:eastAsia="zh-CN" w:bidi="ar-SA"/>
              </w:rPr>
            </w:pPr>
            <w:r>
              <w:rPr>
                <w:rFonts w:hint="eastAsia" w:ascii="仿宋" w:hAnsi="仿宋" w:eastAsia="仿宋" w:cs="仿宋"/>
                <w:b w:val="0"/>
                <w:bCs w:val="0"/>
                <w:i w:val="0"/>
                <w:strike w:val="0"/>
                <w:color w:val="auto"/>
                <w:kern w:val="2"/>
                <w:sz w:val="24"/>
                <w:szCs w:val="24"/>
                <w:highlight w:val="none"/>
                <w:u w:val="none"/>
                <w:vertAlign w:val="baseline"/>
                <w:lang w:val="en-US" w:eastAsia="zh-CN" w:bidi="ar-SA"/>
              </w:rPr>
              <w:t>1</w:t>
            </w:r>
          </w:p>
        </w:tc>
        <w:tc>
          <w:tcPr>
            <w:tcW w:w="1617" w:type="dxa"/>
            <w:vAlign w:val="center"/>
          </w:tcPr>
          <w:p w14:paraId="0BFDB080">
            <w:pPr>
              <w:keepNext/>
              <w:keepLines/>
              <w:widowControl w:val="0"/>
              <w:spacing w:before="0" w:after="0" w:line="240" w:lineRule="auto"/>
              <w:jc w:val="center"/>
              <w:outlineLvl w:val="1"/>
              <w:rPr>
                <w:rFonts w:hint="eastAsia" w:ascii="仿宋" w:hAnsi="仿宋" w:eastAsia="仿宋" w:cs="仿宋"/>
                <w:b/>
                <w:bCs/>
                <w:i w:val="0"/>
                <w:strike w:val="0"/>
                <w:color w:val="auto"/>
                <w:kern w:val="2"/>
                <w:sz w:val="24"/>
                <w:szCs w:val="24"/>
                <w:highlight w:val="none"/>
                <w:u w:val="none"/>
                <w:vertAlign w:val="baseline"/>
                <w:lang w:val="en-US" w:eastAsia="zh-CN" w:bidi="ar-SA"/>
              </w:rPr>
            </w:pPr>
          </w:p>
        </w:tc>
        <w:tc>
          <w:tcPr>
            <w:tcW w:w="1494" w:type="dxa"/>
            <w:vAlign w:val="center"/>
          </w:tcPr>
          <w:p w14:paraId="3A68A6C1">
            <w:pPr>
              <w:keepNext/>
              <w:keepLines/>
              <w:widowControl w:val="0"/>
              <w:spacing w:before="0" w:after="0" w:line="240" w:lineRule="auto"/>
              <w:jc w:val="center"/>
              <w:outlineLvl w:val="1"/>
              <w:rPr>
                <w:rFonts w:hint="default" w:ascii="仿宋" w:hAnsi="仿宋" w:eastAsia="仿宋" w:cs="仿宋"/>
                <w:b w:val="0"/>
                <w:bCs w:val="0"/>
                <w:i w:val="0"/>
                <w:strike w:val="0"/>
                <w:color w:val="auto"/>
                <w:kern w:val="2"/>
                <w:sz w:val="24"/>
                <w:szCs w:val="24"/>
                <w:highlight w:val="none"/>
                <w:u w:val="none"/>
                <w:vertAlign w:val="baseline"/>
                <w:lang w:val="en-US" w:eastAsia="zh-CN" w:bidi="ar-SA"/>
              </w:rPr>
            </w:pPr>
          </w:p>
        </w:tc>
        <w:tc>
          <w:tcPr>
            <w:tcW w:w="1053" w:type="dxa"/>
            <w:vAlign w:val="center"/>
          </w:tcPr>
          <w:p w14:paraId="7CA3B4C3">
            <w:pPr>
              <w:keepNext/>
              <w:keepLines/>
              <w:widowControl w:val="0"/>
              <w:spacing w:before="0" w:after="0" w:line="240" w:lineRule="auto"/>
              <w:jc w:val="center"/>
              <w:outlineLvl w:val="1"/>
              <w:rPr>
                <w:rFonts w:hint="default" w:ascii="仿宋" w:hAnsi="仿宋" w:eastAsia="仿宋" w:cs="仿宋"/>
                <w:b w:val="0"/>
                <w:bCs w:val="0"/>
                <w:i w:val="0"/>
                <w:strike w:val="0"/>
                <w:color w:val="auto"/>
                <w:kern w:val="2"/>
                <w:sz w:val="24"/>
                <w:szCs w:val="24"/>
                <w:highlight w:val="none"/>
                <w:u w:val="none"/>
                <w:vertAlign w:val="baseline"/>
                <w:lang w:val="en-US" w:eastAsia="zh-CN" w:bidi="ar-SA"/>
              </w:rPr>
            </w:pPr>
            <w:r>
              <w:rPr>
                <w:rFonts w:hint="eastAsia" w:ascii="宋体" w:hAnsi="宋体" w:eastAsia="宋体" w:cs="宋体"/>
                <w:b/>
                <w:bCs/>
                <w:i w:val="0"/>
                <w:strike w:val="0"/>
                <w:color w:val="auto"/>
                <w:kern w:val="2"/>
                <w:sz w:val="24"/>
                <w:szCs w:val="24"/>
                <w:highlight w:val="none"/>
                <w:u w:val="none"/>
                <w:vertAlign w:val="baseline"/>
                <w:lang w:val="en-US" w:eastAsia="zh-CN" w:bidi="ar-SA"/>
              </w:rPr>
              <w:t>㎡</w:t>
            </w:r>
          </w:p>
        </w:tc>
        <w:tc>
          <w:tcPr>
            <w:tcW w:w="1347" w:type="dxa"/>
            <w:vAlign w:val="center"/>
          </w:tcPr>
          <w:p w14:paraId="0A513B34">
            <w:pPr>
              <w:keepNext/>
              <w:keepLines/>
              <w:widowControl w:val="0"/>
              <w:spacing w:before="0" w:after="0" w:line="240" w:lineRule="auto"/>
              <w:jc w:val="center"/>
              <w:outlineLvl w:val="1"/>
              <w:rPr>
                <w:rFonts w:hint="eastAsia" w:ascii="仿宋" w:hAnsi="仿宋" w:eastAsia="仿宋" w:cs="仿宋"/>
                <w:b w:val="0"/>
                <w:bCs w:val="0"/>
                <w:i w:val="0"/>
                <w:strike w:val="0"/>
                <w:color w:val="auto"/>
                <w:kern w:val="2"/>
                <w:sz w:val="24"/>
                <w:szCs w:val="24"/>
                <w:highlight w:val="none"/>
                <w:u w:val="none"/>
                <w:vertAlign w:val="baseline"/>
                <w:lang w:val="en-US" w:eastAsia="zh-CN" w:bidi="ar-SA"/>
              </w:rPr>
            </w:pPr>
          </w:p>
        </w:tc>
        <w:tc>
          <w:tcPr>
            <w:tcW w:w="1260" w:type="dxa"/>
            <w:vAlign w:val="center"/>
          </w:tcPr>
          <w:p w14:paraId="0D9A34D4">
            <w:pPr>
              <w:keepNext/>
              <w:keepLines/>
              <w:widowControl w:val="0"/>
              <w:spacing w:before="0" w:after="0" w:line="240" w:lineRule="auto"/>
              <w:jc w:val="center"/>
              <w:outlineLvl w:val="1"/>
              <w:rPr>
                <w:rFonts w:hint="eastAsia" w:ascii="仿宋" w:hAnsi="仿宋" w:eastAsia="仿宋" w:cs="仿宋"/>
                <w:b w:val="0"/>
                <w:bCs w:val="0"/>
                <w:i w:val="0"/>
                <w:strike w:val="0"/>
                <w:color w:val="auto"/>
                <w:kern w:val="2"/>
                <w:sz w:val="24"/>
                <w:szCs w:val="24"/>
                <w:highlight w:val="none"/>
                <w:u w:val="none"/>
                <w:vertAlign w:val="baseline"/>
                <w:lang w:val="en-US" w:eastAsia="zh-CN" w:bidi="ar-SA"/>
              </w:rPr>
            </w:pPr>
          </w:p>
        </w:tc>
        <w:tc>
          <w:tcPr>
            <w:tcW w:w="1260" w:type="dxa"/>
            <w:vAlign w:val="center"/>
          </w:tcPr>
          <w:p w14:paraId="35C5405B">
            <w:pPr>
              <w:keepNext/>
              <w:keepLines/>
              <w:widowControl w:val="0"/>
              <w:spacing w:before="0" w:after="0" w:line="240" w:lineRule="auto"/>
              <w:jc w:val="center"/>
              <w:outlineLvl w:val="1"/>
              <w:rPr>
                <w:rFonts w:hint="eastAsia" w:ascii="仿宋" w:hAnsi="仿宋" w:eastAsia="仿宋" w:cs="仿宋"/>
                <w:b w:val="0"/>
                <w:bCs w:val="0"/>
                <w:i w:val="0"/>
                <w:strike w:val="0"/>
                <w:color w:val="auto"/>
                <w:kern w:val="2"/>
                <w:sz w:val="24"/>
                <w:szCs w:val="24"/>
                <w:highlight w:val="none"/>
                <w:u w:val="none"/>
                <w:vertAlign w:val="baseline"/>
                <w:lang w:val="en-US" w:eastAsia="zh-CN" w:bidi="ar-SA"/>
              </w:rPr>
            </w:pPr>
          </w:p>
        </w:tc>
      </w:tr>
      <w:tr w14:paraId="0EFA5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785" w:type="dxa"/>
            <w:vAlign w:val="center"/>
          </w:tcPr>
          <w:p w14:paraId="5B42E7B1">
            <w:pPr>
              <w:keepNext/>
              <w:keepLines/>
              <w:widowControl w:val="0"/>
              <w:spacing w:before="0" w:after="0" w:line="240" w:lineRule="auto"/>
              <w:jc w:val="center"/>
              <w:outlineLvl w:val="1"/>
              <w:rPr>
                <w:rFonts w:hint="eastAsia" w:ascii="仿宋" w:hAnsi="仿宋" w:eastAsia="仿宋" w:cs="仿宋"/>
                <w:b w:val="0"/>
                <w:bCs w:val="0"/>
                <w:i w:val="0"/>
                <w:strike w:val="0"/>
                <w:color w:val="auto"/>
                <w:kern w:val="2"/>
                <w:sz w:val="24"/>
                <w:szCs w:val="24"/>
                <w:highlight w:val="none"/>
                <w:u w:val="none"/>
                <w:vertAlign w:val="baseline"/>
                <w:lang w:val="en-US" w:eastAsia="zh-CN" w:bidi="ar-SA"/>
              </w:rPr>
            </w:pPr>
            <w:r>
              <w:rPr>
                <w:rFonts w:hint="eastAsia" w:ascii="仿宋" w:hAnsi="仿宋" w:eastAsia="仿宋" w:cs="仿宋"/>
                <w:b w:val="0"/>
                <w:bCs w:val="0"/>
                <w:i w:val="0"/>
                <w:strike w:val="0"/>
                <w:color w:val="auto"/>
                <w:kern w:val="2"/>
                <w:sz w:val="24"/>
                <w:szCs w:val="24"/>
                <w:highlight w:val="none"/>
                <w:u w:val="none"/>
                <w:vertAlign w:val="baseline"/>
                <w:lang w:val="en-US" w:eastAsia="zh-CN" w:bidi="ar-SA"/>
              </w:rPr>
              <w:t>2</w:t>
            </w:r>
          </w:p>
        </w:tc>
        <w:tc>
          <w:tcPr>
            <w:tcW w:w="1617" w:type="dxa"/>
            <w:vAlign w:val="center"/>
          </w:tcPr>
          <w:p w14:paraId="08F4B76D">
            <w:pPr>
              <w:keepNext/>
              <w:keepLines/>
              <w:widowControl w:val="0"/>
              <w:spacing w:before="0" w:after="0" w:line="240" w:lineRule="auto"/>
              <w:jc w:val="center"/>
              <w:outlineLvl w:val="1"/>
              <w:rPr>
                <w:rFonts w:hint="eastAsia" w:ascii="仿宋" w:hAnsi="仿宋" w:eastAsia="仿宋" w:cs="仿宋"/>
                <w:b w:val="0"/>
                <w:bCs w:val="0"/>
                <w:i w:val="0"/>
                <w:strike w:val="0"/>
                <w:color w:val="auto"/>
                <w:kern w:val="2"/>
                <w:sz w:val="24"/>
                <w:szCs w:val="24"/>
                <w:highlight w:val="none"/>
                <w:u w:val="none"/>
                <w:vertAlign w:val="baseline"/>
                <w:lang w:val="en-US" w:eastAsia="zh-CN" w:bidi="ar-SA"/>
              </w:rPr>
            </w:pPr>
          </w:p>
        </w:tc>
        <w:tc>
          <w:tcPr>
            <w:tcW w:w="1494" w:type="dxa"/>
            <w:vAlign w:val="center"/>
          </w:tcPr>
          <w:p w14:paraId="4E51CAE0">
            <w:pPr>
              <w:keepNext/>
              <w:keepLines/>
              <w:widowControl w:val="0"/>
              <w:spacing w:before="0" w:after="0" w:line="240" w:lineRule="auto"/>
              <w:jc w:val="center"/>
              <w:outlineLvl w:val="1"/>
              <w:rPr>
                <w:rFonts w:hint="eastAsia" w:ascii="仿宋" w:hAnsi="仿宋" w:eastAsia="仿宋" w:cs="仿宋"/>
                <w:b w:val="0"/>
                <w:bCs w:val="0"/>
                <w:i w:val="0"/>
                <w:strike w:val="0"/>
                <w:color w:val="auto"/>
                <w:kern w:val="2"/>
                <w:sz w:val="24"/>
                <w:szCs w:val="24"/>
                <w:highlight w:val="none"/>
                <w:u w:val="none"/>
                <w:vertAlign w:val="baseline"/>
                <w:lang w:val="en-US" w:eastAsia="zh-CN" w:bidi="ar-SA"/>
              </w:rPr>
            </w:pPr>
          </w:p>
        </w:tc>
        <w:tc>
          <w:tcPr>
            <w:tcW w:w="1053" w:type="dxa"/>
            <w:vAlign w:val="center"/>
          </w:tcPr>
          <w:p w14:paraId="38429BAA">
            <w:pPr>
              <w:keepNext/>
              <w:keepLines/>
              <w:widowControl w:val="0"/>
              <w:spacing w:before="0" w:after="0" w:line="240" w:lineRule="auto"/>
              <w:jc w:val="center"/>
              <w:outlineLvl w:val="1"/>
              <w:rPr>
                <w:rFonts w:hint="eastAsia" w:ascii="仿宋" w:hAnsi="仿宋" w:eastAsia="仿宋" w:cs="仿宋"/>
                <w:b w:val="0"/>
                <w:bCs w:val="0"/>
                <w:i w:val="0"/>
                <w:strike w:val="0"/>
                <w:color w:val="auto"/>
                <w:kern w:val="2"/>
                <w:sz w:val="24"/>
                <w:szCs w:val="24"/>
                <w:highlight w:val="none"/>
                <w:u w:val="none"/>
                <w:vertAlign w:val="baseline"/>
                <w:lang w:val="en-US" w:eastAsia="zh-CN" w:bidi="ar-SA"/>
              </w:rPr>
            </w:pPr>
            <w:r>
              <w:rPr>
                <w:rFonts w:hint="eastAsia" w:ascii="仿宋" w:hAnsi="仿宋" w:eastAsia="仿宋" w:cs="仿宋"/>
                <w:b w:val="0"/>
                <w:bCs w:val="0"/>
                <w:i w:val="0"/>
                <w:strike w:val="0"/>
                <w:color w:val="auto"/>
                <w:kern w:val="2"/>
                <w:sz w:val="24"/>
                <w:szCs w:val="24"/>
                <w:highlight w:val="none"/>
                <w:u w:val="none"/>
                <w:vertAlign w:val="baseline"/>
                <w:lang w:val="en-US" w:eastAsia="zh-CN" w:bidi="ar-SA"/>
              </w:rPr>
              <w:t>盏</w:t>
            </w:r>
          </w:p>
        </w:tc>
        <w:tc>
          <w:tcPr>
            <w:tcW w:w="1347" w:type="dxa"/>
            <w:vAlign w:val="center"/>
          </w:tcPr>
          <w:p w14:paraId="6393E99C">
            <w:pPr>
              <w:keepNext/>
              <w:keepLines/>
              <w:widowControl w:val="0"/>
              <w:spacing w:before="0" w:after="0" w:line="240" w:lineRule="auto"/>
              <w:jc w:val="center"/>
              <w:outlineLvl w:val="1"/>
              <w:rPr>
                <w:rFonts w:hint="eastAsia" w:ascii="仿宋" w:hAnsi="仿宋" w:eastAsia="仿宋" w:cs="仿宋"/>
                <w:b w:val="0"/>
                <w:bCs w:val="0"/>
                <w:i w:val="0"/>
                <w:strike w:val="0"/>
                <w:color w:val="auto"/>
                <w:kern w:val="2"/>
                <w:sz w:val="24"/>
                <w:szCs w:val="24"/>
                <w:highlight w:val="none"/>
                <w:u w:val="none"/>
                <w:vertAlign w:val="baseline"/>
                <w:lang w:val="en-US" w:eastAsia="zh-CN" w:bidi="ar-SA"/>
              </w:rPr>
            </w:pPr>
          </w:p>
        </w:tc>
        <w:tc>
          <w:tcPr>
            <w:tcW w:w="1260" w:type="dxa"/>
            <w:vAlign w:val="center"/>
          </w:tcPr>
          <w:p w14:paraId="13BAF311">
            <w:pPr>
              <w:keepNext/>
              <w:keepLines/>
              <w:widowControl w:val="0"/>
              <w:spacing w:before="0" w:after="0" w:line="240" w:lineRule="auto"/>
              <w:jc w:val="center"/>
              <w:outlineLvl w:val="1"/>
              <w:rPr>
                <w:rFonts w:hint="eastAsia" w:ascii="仿宋" w:hAnsi="仿宋" w:eastAsia="仿宋" w:cs="仿宋"/>
                <w:b w:val="0"/>
                <w:bCs w:val="0"/>
                <w:i w:val="0"/>
                <w:strike w:val="0"/>
                <w:color w:val="auto"/>
                <w:kern w:val="2"/>
                <w:sz w:val="24"/>
                <w:szCs w:val="24"/>
                <w:highlight w:val="none"/>
                <w:u w:val="none"/>
                <w:vertAlign w:val="baseline"/>
                <w:lang w:val="en-US" w:eastAsia="zh-CN" w:bidi="ar-SA"/>
              </w:rPr>
            </w:pPr>
          </w:p>
        </w:tc>
        <w:tc>
          <w:tcPr>
            <w:tcW w:w="1260" w:type="dxa"/>
            <w:vAlign w:val="center"/>
          </w:tcPr>
          <w:p w14:paraId="15C43DEA">
            <w:pPr>
              <w:keepNext/>
              <w:keepLines/>
              <w:widowControl w:val="0"/>
              <w:spacing w:before="0" w:after="0" w:line="240" w:lineRule="auto"/>
              <w:jc w:val="center"/>
              <w:outlineLvl w:val="1"/>
              <w:rPr>
                <w:rFonts w:hint="eastAsia" w:ascii="仿宋" w:hAnsi="仿宋" w:eastAsia="仿宋" w:cs="仿宋"/>
                <w:b w:val="0"/>
                <w:bCs w:val="0"/>
                <w:i w:val="0"/>
                <w:strike w:val="0"/>
                <w:color w:val="auto"/>
                <w:kern w:val="2"/>
                <w:sz w:val="24"/>
                <w:szCs w:val="24"/>
                <w:highlight w:val="none"/>
                <w:u w:val="none"/>
                <w:vertAlign w:val="baseline"/>
                <w:lang w:val="en-US" w:eastAsia="zh-CN" w:bidi="ar-SA"/>
              </w:rPr>
            </w:pPr>
          </w:p>
        </w:tc>
      </w:tr>
      <w:tr w14:paraId="0978D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8816" w:type="dxa"/>
            <w:gridSpan w:val="7"/>
            <w:vAlign w:val="center"/>
          </w:tcPr>
          <w:p w14:paraId="0D006A40">
            <w:pPr>
              <w:keepNext/>
              <w:keepLines/>
              <w:widowControl w:val="0"/>
              <w:spacing w:before="0" w:after="0" w:line="240" w:lineRule="auto"/>
              <w:jc w:val="left"/>
              <w:outlineLvl w:val="1"/>
              <w:rPr>
                <w:rFonts w:hint="eastAsia" w:ascii="仿宋" w:hAnsi="仿宋" w:eastAsia="仿宋" w:cs="仿宋"/>
                <w:b/>
                <w:bCs/>
                <w:i w:val="0"/>
                <w:strike w:val="0"/>
                <w:color w:val="auto"/>
                <w:kern w:val="2"/>
                <w:sz w:val="24"/>
                <w:szCs w:val="24"/>
                <w:highlight w:val="none"/>
                <w:u w:val="single"/>
                <w:vertAlign w:val="baseline"/>
                <w:lang w:val="en-US" w:eastAsia="zh-CN" w:bidi="ar-SA"/>
              </w:rPr>
            </w:pPr>
            <w:r>
              <w:rPr>
                <w:rFonts w:hint="eastAsia" w:ascii="仿宋" w:hAnsi="仿宋" w:eastAsia="仿宋" w:cs="仿宋"/>
                <w:b/>
                <w:bCs/>
                <w:i w:val="0"/>
                <w:strike w:val="0"/>
                <w:color w:val="auto"/>
                <w:kern w:val="2"/>
                <w:sz w:val="24"/>
                <w:szCs w:val="24"/>
                <w:highlight w:val="none"/>
                <w:u w:val="none"/>
                <w:vertAlign w:val="baseline"/>
                <w:lang w:val="en-US" w:eastAsia="zh-CN" w:bidi="ar-SA"/>
              </w:rPr>
              <w:t>合计：</w:t>
            </w:r>
            <w:r>
              <w:rPr>
                <w:rFonts w:hint="eastAsia" w:ascii="仿宋" w:hAnsi="仿宋" w:eastAsia="仿宋" w:cs="仿宋"/>
                <w:b/>
                <w:bCs/>
                <w:i w:val="0"/>
                <w:strike w:val="0"/>
                <w:color w:val="auto"/>
                <w:kern w:val="2"/>
                <w:sz w:val="24"/>
                <w:szCs w:val="24"/>
                <w:highlight w:val="none"/>
                <w:u w:val="single"/>
                <w:vertAlign w:val="baseline"/>
                <w:lang w:val="en-US" w:eastAsia="zh-CN" w:bidi="ar-SA"/>
              </w:rPr>
              <w:t xml:space="preserve">             </w:t>
            </w:r>
            <w:r>
              <w:rPr>
                <w:rFonts w:hint="eastAsia" w:ascii="仿宋" w:hAnsi="仿宋" w:eastAsia="仿宋" w:cs="仿宋"/>
                <w:b/>
                <w:bCs/>
                <w:i w:val="0"/>
                <w:strike w:val="0"/>
                <w:color w:val="auto"/>
                <w:kern w:val="2"/>
                <w:sz w:val="24"/>
                <w:szCs w:val="24"/>
                <w:highlight w:val="none"/>
                <w:u w:val="none"/>
                <w:vertAlign w:val="baseline"/>
                <w:lang w:val="en-US" w:eastAsia="zh-CN" w:bidi="ar-SA"/>
              </w:rPr>
              <w:t xml:space="preserve">                   大写金额：</w:t>
            </w:r>
            <w:r>
              <w:rPr>
                <w:rFonts w:hint="eastAsia" w:ascii="仿宋" w:hAnsi="仿宋" w:eastAsia="仿宋" w:cs="仿宋"/>
                <w:b/>
                <w:bCs/>
                <w:i w:val="0"/>
                <w:strike w:val="0"/>
                <w:color w:val="auto"/>
                <w:kern w:val="2"/>
                <w:sz w:val="24"/>
                <w:szCs w:val="24"/>
                <w:highlight w:val="none"/>
                <w:u w:val="single"/>
                <w:vertAlign w:val="baseline"/>
                <w:lang w:val="en-US" w:eastAsia="zh-CN" w:bidi="ar-SA"/>
              </w:rPr>
              <w:t xml:space="preserve">                     </w:t>
            </w:r>
          </w:p>
        </w:tc>
      </w:tr>
    </w:tbl>
    <w:p w14:paraId="28BD5928">
      <w:pPr>
        <w:jc w:val="both"/>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注：</w:t>
      </w:r>
    </w:p>
    <w:p w14:paraId="0CDC2485">
      <w:pPr>
        <w:adjustRightInd w:val="0"/>
        <w:spacing w:line="360" w:lineRule="auto"/>
        <w:jc w:val="left"/>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1.供应商的报价是供应商响应采购项目要求的全部工作内容的价格体现，其总价即为履行合同的固定价格。包括但不限于完成本项目服务内容、人员劳务、差旅、设备投入、成果、保险、风险、税金、利润以及采购文件规定的一切费用。除此之外，采购人不再另行向供应商支付其他费用。</w:t>
      </w:r>
    </w:p>
    <w:p w14:paraId="3B18AF24">
      <w:pPr>
        <w:spacing w:line="400" w:lineRule="exact"/>
        <w:ind w:firstLine="840" w:firstLineChars="300"/>
        <w:jc w:val="left"/>
        <w:rPr>
          <w:rFonts w:hint="eastAsia" w:ascii="仿宋" w:hAnsi="仿宋" w:eastAsia="仿宋" w:cs="仿宋"/>
          <w:b w:val="0"/>
          <w:bCs w:val="0"/>
          <w:kern w:val="2"/>
          <w:sz w:val="28"/>
          <w:szCs w:val="28"/>
          <w:lang w:val="en-US" w:eastAsia="zh-CN" w:bidi="ar-SA"/>
        </w:rPr>
      </w:pPr>
    </w:p>
    <w:p w14:paraId="5654167D">
      <w:pPr>
        <w:spacing w:line="400" w:lineRule="exact"/>
        <w:ind w:firstLine="840" w:firstLineChars="300"/>
        <w:jc w:val="left"/>
        <w:rPr>
          <w:rFonts w:hint="eastAsia" w:ascii="仿宋" w:hAnsi="仿宋" w:eastAsia="仿宋" w:cs="仿宋"/>
          <w:b w:val="0"/>
          <w:bCs w:val="0"/>
          <w:kern w:val="2"/>
          <w:sz w:val="28"/>
          <w:szCs w:val="28"/>
          <w:lang w:val="en-US" w:eastAsia="zh-CN" w:bidi="ar-SA"/>
        </w:rPr>
      </w:pPr>
    </w:p>
    <w:p w14:paraId="3DC8DAE1">
      <w:pPr>
        <w:spacing w:line="360" w:lineRule="auto"/>
        <w:ind w:firstLine="560" w:firstLineChars="200"/>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供应商名称：                           （单位公章）。</w:t>
      </w:r>
    </w:p>
    <w:p w14:paraId="0C254D25">
      <w:pPr>
        <w:spacing w:line="360" w:lineRule="auto"/>
        <w:ind w:firstLine="480"/>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 xml:space="preserve">法定代表人或授权代表（签字或加盖个人名章）：         </w:t>
      </w:r>
    </w:p>
    <w:p w14:paraId="31B1653F">
      <w:pPr>
        <w:spacing w:line="360" w:lineRule="auto"/>
        <w:ind w:firstLine="480"/>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 xml:space="preserve">日    期：                 </w:t>
      </w:r>
    </w:p>
    <w:p w14:paraId="2BB7976E"/>
    <w:p w14:paraId="73DEDE89">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D23642"/>
    <w:rsid w:val="318C4693"/>
    <w:rsid w:val="56FE536D"/>
    <w:rsid w:val="5C0041EB"/>
    <w:rsid w:val="6C7A7C5A"/>
    <w:rsid w:val="6D0539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widowControl w:val="0"/>
      <w:spacing w:before="260" w:after="260" w:line="415" w:lineRule="auto"/>
      <w:ind w:left="0" w:right="0"/>
      <w:jc w:val="both"/>
      <w:outlineLvl w:val="2"/>
    </w:pPr>
    <w:rPr>
      <w:rFonts w:ascii="Times New Roman" w:hAnsi="Times New Roman" w:eastAsia="宋体" w:cs="Times New Roman"/>
      <w:b/>
      <w:bCs/>
      <w:kern w:val="2"/>
      <w:sz w:val="32"/>
      <w:szCs w:val="32"/>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263</Words>
  <Characters>278</Characters>
  <Lines>0</Lines>
  <Paragraphs>0</Paragraphs>
  <TotalTime>1</TotalTime>
  <ScaleCrop>false</ScaleCrop>
  <LinksUpToDate>false</LinksUpToDate>
  <CharactersWithSpaces>388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2026-08-13T00:59:00Z</dcterms:created>
  <dc:creator>asus</dc:creator>
  <cp:lastModifiedBy>小情绪</cp:lastModifiedBy>
  <dcterms:modified xsi:type="dcterms:W3CDTF">2026-08-19T03:08:39Z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eyJoZGlkIjoiMjBhMDcxNjJiMDgyYmFmNjZkNmNkZTQ2NjhjN2NmODciLCJ1c2VySWQiOiI3ODQzNDYyOTgifQ==</vt:lpwstr>
  </property>
  <property fmtid="{D5CDD505-2E9C-101B-9397-08002B2CF9AE}" pid="4" name="ICV">
    <vt:lpwstr>386CCECCB1054504801F94C4C355A322_12</vt:lpwstr>
  </property>
</Properties>
</file>