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DD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left"/>
        <w:rPr>
          <w:rFonts w:hint="eastAsia" w:ascii="仿宋" w:hAnsi="仿宋" w:eastAsia="仿宋" w:cs="仿宋"/>
          <w:b/>
          <w:bCs/>
          <w:i w:val="0"/>
          <w:iCs w:val="0"/>
          <w:caps w:val="0"/>
          <w:color w:val="000000"/>
          <w:spacing w:val="0"/>
          <w:kern w:val="0"/>
          <w:sz w:val="28"/>
          <w:szCs w:val="28"/>
          <w:highlight w:val="none"/>
          <w:shd w:val="clear" w:fill="FFFFFF"/>
          <w:lang w:val="en-US" w:eastAsia="zh-CN" w:bidi="ar"/>
        </w:rPr>
      </w:pPr>
      <w:r>
        <w:rPr>
          <w:rFonts w:hint="eastAsia" w:ascii="仿宋" w:hAnsi="仿宋" w:eastAsia="仿宋" w:cs="仿宋"/>
          <w:b/>
          <w:bCs/>
          <w:i w:val="0"/>
          <w:iCs w:val="0"/>
          <w:caps w:val="0"/>
          <w:color w:val="000000"/>
          <w:spacing w:val="0"/>
          <w:kern w:val="0"/>
          <w:sz w:val="28"/>
          <w:szCs w:val="28"/>
          <w:highlight w:val="none"/>
          <w:shd w:val="clear" w:fill="FFFFFF"/>
          <w:lang w:val="en-US" w:eastAsia="zh-CN" w:bidi="ar"/>
        </w:rPr>
        <w:t>附件1：项目服务内容及技术参数要求</w:t>
      </w:r>
    </w:p>
    <w:p w14:paraId="55BE6709">
      <w:pPr>
        <w:keepNext w:val="0"/>
        <w:keepLines w:val="0"/>
        <w:widowControl/>
        <w:numPr>
          <w:ilvl w:val="0"/>
          <w:numId w:val="0"/>
        </w:numPr>
        <w:suppressLineNumbers w:val="0"/>
        <w:tabs>
          <w:tab w:val="left" w:pos="0"/>
        </w:tabs>
        <w:spacing w:line="360" w:lineRule="auto"/>
        <w:jc w:val="left"/>
        <w:rPr>
          <w:rFonts w:hint="eastAsia"/>
          <w:color w:val="auto"/>
          <w:sz w:val="24"/>
          <w:highlight w:val="none"/>
          <w:lang w:val="en-US" w:eastAsia="zh-CN"/>
        </w:rPr>
      </w:pPr>
      <w:bookmarkStart w:id="0" w:name="_Toc473313262"/>
      <w:r>
        <w:rPr>
          <w:rFonts w:hint="eastAsia" w:ascii="微软雅黑" w:hAnsi="微软雅黑" w:eastAsia="微软雅黑" w:cs="微软雅黑"/>
          <w:color w:val="auto"/>
          <w:highlight w:val="none"/>
          <w:lang w:val="en-US" w:eastAsia="zh-CN"/>
        </w:rPr>
        <w:t>★一</w:t>
      </w:r>
      <w:r>
        <w:rPr>
          <w:rFonts w:hint="eastAsia"/>
          <w:color w:val="auto"/>
          <w:highlight w:val="none"/>
          <w:lang w:val="en-US" w:eastAsia="zh-CN"/>
        </w:rPr>
        <w:t>、</w:t>
      </w:r>
      <w:bookmarkEnd w:id="0"/>
      <w:r>
        <w:rPr>
          <w:rFonts w:hint="eastAsia" w:asciiTheme="minorEastAsia" w:hAnsiTheme="minorEastAsia" w:cstheme="minorEastAsia"/>
          <w:b/>
          <w:bCs/>
          <w:i w:val="0"/>
          <w:iCs w:val="0"/>
          <w:caps w:val="0"/>
          <w:color w:val="auto"/>
          <w:spacing w:val="0"/>
          <w:kern w:val="0"/>
          <w:sz w:val="24"/>
          <w:szCs w:val="24"/>
          <w:shd w:val="clear" w:fill="FFFFFF"/>
          <w:lang w:val="en-US" w:eastAsia="zh-CN" w:bidi="ar"/>
        </w:rPr>
        <w:t>技术要求</w:t>
      </w:r>
      <w:r>
        <w:rPr>
          <w:rFonts w:hint="eastAsia"/>
          <w:color w:val="auto"/>
          <w:sz w:val="24"/>
          <w:highlight w:val="none"/>
          <w:lang w:val="en-US" w:eastAsia="zh-CN"/>
        </w:rPr>
        <w:t xml:space="preserve">                                              </w:t>
      </w:r>
    </w:p>
    <w:p w14:paraId="71B1E37C">
      <w:pPr>
        <w:keepNext w:val="0"/>
        <w:keepLines w:val="0"/>
        <w:widowControl/>
        <w:numPr>
          <w:ilvl w:val="0"/>
          <w:numId w:val="2"/>
        </w:numPr>
        <w:suppressLineNumbers w:val="0"/>
        <w:tabs>
          <w:tab w:val="left" w:pos="0"/>
        </w:tabs>
        <w:spacing w:line="360" w:lineRule="auto"/>
        <w:jc w:val="left"/>
        <w:rPr>
          <w:rFonts w:hint="default"/>
          <w:color w:val="auto"/>
          <w:sz w:val="24"/>
          <w:highlight w:val="none"/>
          <w:lang w:val="en-US" w:eastAsia="zh-CN"/>
        </w:rPr>
      </w:pPr>
      <w:r>
        <w:rPr>
          <w:rFonts w:hint="eastAsia"/>
          <w:color w:val="auto"/>
          <w:sz w:val="24"/>
          <w:highlight w:val="none"/>
          <w:lang w:val="en-US" w:eastAsia="zh-CN"/>
        </w:rPr>
        <w:t>故障情况</w:t>
      </w:r>
    </w:p>
    <w:tbl>
      <w:tblPr>
        <w:tblStyle w:val="7"/>
        <w:tblW w:w="10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902"/>
        <w:gridCol w:w="1066"/>
        <w:gridCol w:w="1366"/>
        <w:gridCol w:w="2073"/>
        <w:gridCol w:w="1605"/>
        <w:gridCol w:w="1605"/>
      </w:tblGrid>
      <w:tr w14:paraId="1400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blHeader/>
          <w:jc w:val="center"/>
        </w:trPr>
        <w:tc>
          <w:tcPr>
            <w:tcW w:w="705" w:type="dxa"/>
            <w:vAlign w:val="center"/>
          </w:tcPr>
          <w:p w14:paraId="05E462A1">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序号</w:t>
            </w:r>
          </w:p>
        </w:tc>
        <w:tc>
          <w:tcPr>
            <w:tcW w:w="1902" w:type="dxa"/>
            <w:vAlign w:val="center"/>
          </w:tcPr>
          <w:p w14:paraId="62FE9489">
            <w:pPr>
              <w:pStyle w:val="5"/>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设备名称</w:t>
            </w:r>
          </w:p>
        </w:tc>
        <w:tc>
          <w:tcPr>
            <w:tcW w:w="1066" w:type="dxa"/>
            <w:vAlign w:val="center"/>
          </w:tcPr>
          <w:p w14:paraId="725E8F43">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序列号</w:t>
            </w:r>
          </w:p>
        </w:tc>
        <w:tc>
          <w:tcPr>
            <w:tcW w:w="1366" w:type="dxa"/>
            <w:vAlign w:val="center"/>
          </w:tcPr>
          <w:p w14:paraId="3EF0D1D5">
            <w:pPr>
              <w:pStyle w:val="5"/>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hAnsi="宋体"/>
                <w:b/>
                <w:bCs/>
                <w:color w:val="auto"/>
                <w:sz w:val="24"/>
                <w:highlight w:val="none"/>
                <w:vertAlign w:val="baseline"/>
                <w:lang w:val="en-US" w:eastAsia="zh-CN"/>
              </w:rPr>
              <w:t>配件名称</w:t>
            </w:r>
          </w:p>
        </w:tc>
        <w:tc>
          <w:tcPr>
            <w:tcW w:w="2073" w:type="dxa"/>
            <w:vAlign w:val="center"/>
          </w:tcPr>
          <w:p w14:paraId="76903557">
            <w:pPr>
              <w:pStyle w:val="5"/>
              <w:tabs>
                <w:tab w:val="left" w:pos="0"/>
              </w:tabs>
              <w:snapToGrid w:val="0"/>
              <w:spacing w:line="240" w:lineRule="auto"/>
              <w:ind w:left="0" w:leftChars="0" w:right="0" w:rightChars="0" w:firstLine="0" w:firstLineChars="0"/>
              <w:jc w:val="center"/>
              <w:rPr>
                <w:rFonts w:hint="eastAsia" w:ascii="宋体" w:hAnsi="宋体"/>
                <w:b/>
                <w:bCs/>
                <w:color w:val="auto"/>
                <w:sz w:val="24"/>
                <w:highlight w:val="none"/>
                <w:vertAlign w:val="baseline"/>
                <w:lang w:val="en-US" w:eastAsia="zh-CN"/>
              </w:rPr>
            </w:pPr>
            <w:r>
              <w:rPr>
                <w:rFonts w:hint="eastAsia" w:ascii="宋体" w:hAnsi="宋体"/>
                <w:b/>
                <w:bCs/>
                <w:color w:val="auto"/>
                <w:sz w:val="24"/>
                <w:highlight w:val="none"/>
                <w:vertAlign w:val="baseline"/>
                <w:lang w:val="en-US" w:eastAsia="zh-CN"/>
              </w:rPr>
              <w:t>最高限价</w:t>
            </w:r>
          </w:p>
          <w:p w14:paraId="63F49FC6">
            <w:pPr>
              <w:pStyle w:val="5"/>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hAnsi="宋体"/>
                <w:b/>
                <w:bCs/>
                <w:color w:val="auto"/>
                <w:sz w:val="24"/>
                <w:highlight w:val="none"/>
                <w:vertAlign w:val="baseline"/>
                <w:lang w:val="en-US" w:eastAsia="zh-CN"/>
              </w:rPr>
              <w:t>（元）</w:t>
            </w:r>
          </w:p>
        </w:tc>
        <w:tc>
          <w:tcPr>
            <w:tcW w:w="1605" w:type="dxa"/>
            <w:vAlign w:val="center"/>
          </w:tcPr>
          <w:p w14:paraId="39CE9C06">
            <w:pPr>
              <w:pStyle w:val="5"/>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故障情况</w:t>
            </w:r>
          </w:p>
        </w:tc>
        <w:tc>
          <w:tcPr>
            <w:tcW w:w="1605" w:type="dxa"/>
            <w:vAlign w:val="center"/>
          </w:tcPr>
          <w:p w14:paraId="07D3F52D">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hAnsi="宋体" w:eastAsia="宋体" w:cs="黑体"/>
                <w:b/>
                <w:bCs/>
                <w:color w:val="auto"/>
                <w:kern w:val="2"/>
                <w:sz w:val="24"/>
                <w:szCs w:val="22"/>
                <w:highlight w:val="none"/>
                <w:lang w:val="en-US" w:eastAsia="zh-CN" w:bidi="ar-SA"/>
              </w:rPr>
              <w:t>质保</w:t>
            </w:r>
            <w:r>
              <w:rPr>
                <w:rFonts w:hint="eastAsia" w:ascii="宋体" w:hAnsi="宋体" w:cs="黑体"/>
                <w:b/>
                <w:bCs/>
                <w:color w:val="auto"/>
                <w:kern w:val="2"/>
                <w:sz w:val="24"/>
                <w:szCs w:val="22"/>
                <w:highlight w:val="none"/>
                <w:lang w:val="en-US" w:eastAsia="zh-CN" w:bidi="ar-SA"/>
              </w:rPr>
              <w:t>期</w:t>
            </w:r>
          </w:p>
        </w:tc>
      </w:tr>
      <w:tr w14:paraId="5AF2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5" w:type="dxa"/>
            <w:vMerge w:val="restart"/>
            <w:vAlign w:val="center"/>
          </w:tcPr>
          <w:p w14:paraId="3396BD1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1902" w:type="dxa"/>
            <w:vMerge w:val="restart"/>
            <w:vAlign w:val="center"/>
          </w:tcPr>
          <w:p w14:paraId="3B6001C8">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气压弹道式体外压力波治疗仪</w:t>
            </w:r>
          </w:p>
        </w:tc>
        <w:tc>
          <w:tcPr>
            <w:tcW w:w="1066" w:type="dxa"/>
            <w:vMerge w:val="restart"/>
            <w:vAlign w:val="center"/>
          </w:tcPr>
          <w:p w14:paraId="0E7E22E1">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JG07324</w:t>
            </w:r>
          </w:p>
        </w:tc>
        <w:tc>
          <w:tcPr>
            <w:tcW w:w="1366" w:type="dxa"/>
            <w:vAlign w:val="center"/>
          </w:tcPr>
          <w:p w14:paraId="7598B2E2">
            <w:pPr>
              <w:pStyle w:val="5"/>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手柄</w:t>
            </w:r>
          </w:p>
        </w:tc>
        <w:tc>
          <w:tcPr>
            <w:tcW w:w="2073" w:type="dxa"/>
            <w:vAlign w:val="center"/>
          </w:tcPr>
          <w:p w14:paraId="7EDEC9CD">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hAnsi="宋体" w:cstheme="minorBidi"/>
                <w:color w:val="auto"/>
                <w:kern w:val="2"/>
                <w:sz w:val="24"/>
                <w:szCs w:val="24"/>
                <w:highlight w:val="none"/>
                <w:lang w:val="en-US" w:eastAsia="zh-CN" w:bidi="ar-SA"/>
              </w:rPr>
            </w:pPr>
            <w:r>
              <w:rPr>
                <w:rFonts w:hint="eastAsia" w:ascii="宋体" w:hAnsi="宋体" w:cstheme="minorBidi"/>
                <w:color w:val="auto"/>
                <w:kern w:val="2"/>
                <w:sz w:val="24"/>
                <w:szCs w:val="24"/>
                <w:highlight w:val="none"/>
                <w:lang w:val="en-US" w:eastAsia="zh-CN" w:bidi="ar-SA"/>
              </w:rPr>
              <w:t>12000.00</w:t>
            </w:r>
          </w:p>
        </w:tc>
        <w:tc>
          <w:tcPr>
            <w:tcW w:w="1605" w:type="dxa"/>
            <w:vAlign w:val="center"/>
          </w:tcPr>
          <w:p w14:paraId="630AEA7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hAnsi="宋体" w:eastAsiaTheme="minorEastAsia" w:cstheme="minorBidi"/>
                <w:color w:val="auto"/>
                <w:kern w:val="2"/>
                <w:sz w:val="24"/>
                <w:szCs w:val="24"/>
                <w:highlight w:val="none"/>
                <w:lang w:val="en-US" w:eastAsia="zh-CN" w:bidi="ar-SA"/>
              </w:rPr>
            </w:pPr>
            <w:r>
              <w:rPr>
                <w:rFonts w:hint="eastAsia" w:ascii="宋体" w:hAnsi="宋体" w:cstheme="minorBidi"/>
                <w:color w:val="auto"/>
                <w:kern w:val="2"/>
                <w:sz w:val="24"/>
                <w:szCs w:val="24"/>
                <w:highlight w:val="none"/>
                <w:lang w:val="en-US" w:eastAsia="zh-CN" w:bidi="ar-SA"/>
              </w:rPr>
              <w:t>手柄卡弹、更换校正。</w:t>
            </w:r>
          </w:p>
        </w:tc>
        <w:tc>
          <w:tcPr>
            <w:tcW w:w="1605" w:type="dxa"/>
            <w:vAlign w:val="center"/>
          </w:tcPr>
          <w:p w14:paraId="6FFC2C73">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hAnsi="宋体" w:cstheme="minorBidi"/>
                <w:color w:val="auto"/>
                <w:kern w:val="2"/>
                <w:sz w:val="24"/>
                <w:szCs w:val="24"/>
                <w:highlight w:val="none"/>
                <w:lang w:val="en-US" w:eastAsia="zh-CN" w:bidi="ar-SA"/>
              </w:rPr>
            </w:pPr>
            <w:r>
              <w:rPr>
                <w:rFonts w:hint="eastAsia" w:ascii="宋体" w:hAnsi="宋体" w:cstheme="minorBidi"/>
                <w:color w:val="auto"/>
                <w:kern w:val="2"/>
                <w:sz w:val="24"/>
                <w:szCs w:val="24"/>
                <w:highlight w:val="none"/>
                <w:lang w:val="en-US" w:eastAsia="zh-CN" w:bidi="ar-SA"/>
              </w:rPr>
              <w:t>100万次</w:t>
            </w:r>
          </w:p>
        </w:tc>
      </w:tr>
      <w:tr w14:paraId="2DE0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5" w:type="dxa"/>
            <w:vMerge w:val="continue"/>
            <w:vAlign w:val="center"/>
          </w:tcPr>
          <w:p w14:paraId="2DC60C20">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p>
        </w:tc>
        <w:tc>
          <w:tcPr>
            <w:tcW w:w="1902" w:type="dxa"/>
            <w:vMerge w:val="continue"/>
            <w:vAlign w:val="center"/>
          </w:tcPr>
          <w:p w14:paraId="0EEB11F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p>
        </w:tc>
        <w:tc>
          <w:tcPr>
            <w:tcW w:w="1066" w:type="dxa"/>
            <w:vMerge w:val="continue"/>
            <w:vAlign w:val="center"/>
          </w:tcPr>
          <w:p w14:paraId="258BE733">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p>
        </w:tc>
        <w:tc>
          <w:tcPr>
            <w:tcW w:w="1366" w:type="dxa"/>
            <w:vAlign w:val="center"/>
          </w:tcPr>
          <w:p w14:paraId="34306522">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计数器</w:t>
            </w:r>
          </w:p>
        </w:tc>
        <w:tc>
          <w:tcPr>
            <w:tcW w:w="2073" w:type="dxa"/>
            <w:vAlign w:val="center"/>
          </w:tcPr>
          <w:p w14:paraId="5274004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3000.00</w:t>
            </w:r>
          </w:p>
        </w:tc>
        <w:tc>
          <w:tcPr>
            <w:tcW w:w="1605" w:type="dxa"/>
            <w:vAlign w:val="center"/>
          </w:tcPr>
          <w:p w14:paraId="703F0511">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计数器损坏</w:t>
            </w:r>
          </w:p>
        </w:tc>
        <w:tc>
          <w:tcPr>
            <w:tcW w:w="1605" w:type="dxa"/>
            <w:vAlign w:val="center"/>
          </w:tcPr>
          <w:p w14:paraId="11FEF17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6个月</w:t>
            </w:r>
          </w:p>
        </w:tc>
      </w:tr>
      <w:tr w14:paraId="2154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717" w:type="dxa"/>
            <w:gridSpan w:val="6"/>
            <w:vAlign w:val="center"/>
          </w:tcPr>
          <w:p w14:paraId="5A0C80C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备注：包括但不局限于以上故障情况，以成交供应商现场检测出故障进行维修</w:t>
            </w:r>
          </w:p>
        </w:tc>
        <w:tc>
          <w:tcPr>
            <w:tcW w:w="1605" w:type="dxa"/>
            <w:vAlign w:val="center"/>
          </w:tcPr>
          <w:p w14:paraId="31906BC3">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bl>
    <w:p w14:paraId="4825A36A">
      <w:pPr>
        <w:keepNext w:val="0"/>
        <w:keepLines w:val="0"/>
        <w:widowControl/>
        <w:numPr>
          <w:ilvl w:val="0"/>
          <w:numId w:val="0"/>
        </w:numPr>
        <w:suppressLineNumbers w:val="0"/>
        <w:tabs>
          <w:tab w:val="left" w:pos="0"/>
        </w:tabs>
        <w:spacing w:line="360" w:lineRule="auto"/>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w:t>
      </w:r>
      <w:r>
        <w:rPr>
          <w:rFonts w:hint="eastAsia"/>
          <w:color w:val="auto"/>
          <w:sz w:val="24"/>
          <w:highlight w:val="none"/>
          <w:lang w:val="en-US" w:eastAsia="zh-CN"/>
        </w:rPr>
        <w:t>二</w:t>
      </w:r>
      <w:r>
        <w:rPr>
          <w:rFonts w:hint="eastAsia" w:ascii="宋体" w:hAnsi="宋体"/>
          <w:color w:val="auto"/>
          <w:sz w:val="24"/>
          <w:highlight w:val="none"/>
          <w:lang w:val="en-US" w:eastAsia="zh-CN"/>
        </w:rPr>
        <w:t>）服务要求</w:t>
      </w:r>
    </w:p>
    <w:p w14:paraId="218C5DE1">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1.维修后能保证设备正常使用，设备待机率&gt;95%，如低于95％开机率，则延长两倍停机天数的维保时间。</w:t>
      </w:r>
    </w:p>
    <w:p w14:paraId="53A14AAE">
      <w:pPr>
        <w:tabs>
          <w:tab w:val="left" w:pos="0"/>
        </w:tabs>
        <w:spacing w:line="360" w:lineRule="auto"/>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 xml:space="preserve">    </w:t>
      </w:r>
      <w:r>
        <w:rPr>
          <w:rFonts w:hint="eastAsia" w:cs="黑体"/>
          <w:b w:val="0"/>
          <w:color w:val="auto"/>
          <w:kern w:val="2"/>
          <w:sz w:val="24"/>
          <w:szCs w:val="22"/>
          <w:highlight w:val="none"/>
          <w:lang w:val="en-US" w:eastAsia="zh-CN" w:bidi="ar-SA"/>
        </w:rPr>
        <w:t>2</w:t>
      </w:r>
      <w:r>
        <w:rPr>
          <w:rFonts w:hint="eastAsia" w:ascii="宋体" w:hAnsi="宋体" w:cs="黑体"/>
          <w:b w:val="0"/>
          <w:color w:val="auto"/>
          <w:kern w:val="2"/>
          <w:sz w:val="24"/>
          <w:szCs w:val="22"/>
          <w:highlight w:val="none"/>
          <w:lang w:val="en-US" w:eastAsia="zh-CN" w:bidi="ar-SA"/>
        </w:rPr>
        <w:t>.</w:t>
      </w:r>
      <w:r>
        <w:rPr>
          <w:rFonts w:hint="eastAsia" w:ascii="宋体" w:hAnsi="宋体" w:eastAsia="宋体" w:cs="黑体"/>
          <w:b w:val="0"/>
          <w:color w:val="auto"/>
          <w:kern w:val="2"/>
          <w:sz w:val="24"/>
          <w:szCs w:val="22"/>
          <w:highlight w:val="none"/>
          <w:lang w:val="en-US" w:eastAsia="zh-CN" w:bidi="ar-SA"/>
        </w:rPr>
        <w:t>响应时间：投标人应在收到医院服务诉求通知30分钟内电话响应。紧急故障若电话交流无法解决，则在接到报修电话后工程师≤24小时内到达现场。</w:t>
      </w:r>
    </w:p>
    <w:p w14:paraId="39F0275C">
      <w:pPr>
        <w:tabs>
          <w:tab w:val="left" w:pos="0"/>
        </w:tabs>
        <w:spacing w:line="360" w:lineRule="auto"/>
        <w:ind w:firstLine="480" w:firstLineChars="200"/>
        <w:rPr>
          <w:rFonts w:hint="default" w:ascii="宋体" w:hAnsi="宋体" w:eastAsia="宋体" w:cs="黑体"/>
          <w:b/>
          <w:bCs/>
          <w:color w:val="auto"/>
          <w:kern w:val="2"/>
          <w:sz w:val="24"/>
          <w:szCs w:val="22"/>
          <w:highlight w:val="none"/>
          <w:lang w:val="en-US" w:eastAsia="zh-CN" w:bidi="ar-SA"/>
        </w:rPr>
      </w:pPr>
      <w:r>
        <w:rPr>
          <w:rFonts w:hint="eastAsia" w:cs="黑体"/>
          <w:b w:val="0"/>
          <w:color w:val="auto"/>
          <w:kern w:val="2"/>
          <w:sz w:val="24"/>
          <w:szCs w:val="22"/>
          <w:highlight w:val="none"/>
          <w:lang w:val="en-US" w:eastAsia="zh-CN" w:bidi="ar-SA"/>
        </w:rPr>
        <w:t>3</w:t>
      </w:r>
      <w:r>
        <w:rPr>
          <w:rFonts w:hint="eastAsia" w:ascii="宋体" w:hAnsi="宋体" w:cs="黑体"/>
          <w:b w:val="0"/>
          <w:color w:val="auto"/>
          <w:kern w:val="2"/>
          <w:sz w:val="24"/>
          <w:szCs w:val="22"/>
          <w:highlight w:val="none"/>
          <w:lang w:val="en-US" w:eastAsia="zh-CN" w:bidi="ar-SA"/>
        </w:rPr>
        <w:t>.</w:t>
      </w:r>
      <w:r>
        <w:rPr>
          <w:rFonts w:hint="eastAsia" w:ascii="宋体" w:hAnsi="宋体" w:eastAsia="宋体" w:cs="黑体"/>
          <w:b w:val="0"/>
          <w:color w:val="auto"/>
          <w:kern w:val="2"/>
          <w:sz w:val="24"/>
          <w:szCs w:val="22"/>
          <w:highlight w:val="none"/>
          <w:lang w:val="en-US" w:eastAsia="zh-CN" w:bidi="ar-SA"/>
        </w:rPr>
        <w:t>投标人维修人员在维修过程中，造成采购人设备设施损坏、医疗责任事故等损失均由投标方承担。</w:t>
      </w:r>
    </w:p>
    <w:p w14:paraId="1F883A18">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4.维修时提供备用设备保障采购人正常工作开展。</w:t>
      </w:r>
    </w:p>
    <w:p w14:paraId="0F033F98">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5.供应商所提供的配件，必须为全新，无表面划损、拆解维修痕迹。</w:t>
      </w:r>
    </w:p>
    <w:p w14:paraId="71F62145">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default"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6</w:t>
      </w:r>
      <w:r>
        <w:rPr>
          <w:rFonts w:hint="default" w:ascii="宋体" w:hAnsi="宋体" w:eastAsia="宋体" w:cs="黑体"/>
          <w:b w:val="0"/>
          <w:color w:val="auto"/>
          <w:kern w:val="2"/>
          <w:sz w:val="24"/>
          <w:szCs w:val="22"/>
          <w:highlight w:val="none"/>
          <w:lang w:val="en-US" w:eastAsia="zh-CN" w:bidi="ar-SA"/>
        </w:rPr>
        <w:t>.供应商维修所更换的零配件为全新零配件，并提供</w:t>
      </w:r>
      <w:r>
        <w:rPr>
          <w:rFonts w:hint="eastAsia" w:ascii="宋体" w:hAnsi="宋体" w:eastAsia="宋体" w:cs="黑体"/>
          <w:b w:val="0"/>
          <w:color w:val="auto"/>
          <w:kern w:val="2"/>
          <w:sz w:val="24"/>
          <w:szCs w:val="22"/>
          <w:highlight w:val="none"/>
          <w:lang w:val="en-US" w:eastAsia="zh-CN" w:bidi="ar-SA"/>
        </w:rPr>
        <w:t>产品</w:t>
      </w:r>
      <w:r>
        <w:rPr>
          <w:rFonts w:hint="default" w:ascii="宋体" w:hAnsi="宋体" w:eastAsia="宋体" w:cs="黑体"/>
          <w:b w:val="0"/>
          <w:color w:val="auto"/>
          <w:kern w:val="2"/>
          <w:sz w:val="24"/>
          <w:szCs w:val="22"/>
          <w:highlight w:val="none"/>
          <w:lang w:val="en-US" w:eastAsia="zh-CN" w:bidi="ar-SA"/>
        </w:rPr>
        <w:t>资质或配件采购证明。</w:t>
      </w:r>
    </w:p>
    <w:p w14:paraId="2083B55A">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default"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7</w:t>
      </w:r>
      <w:r>
        <w:rPr>
          <w:rFonts w:hint="default" w:ascii="宋体" w:hAnsi="宋体" w:eastAsia="宋体" w:cs="黑体"/>
          <w:b w:val="0"/>
          <w:color w:val="auto"/>
          <w:kern w:val="2"/>
          <w:sz w:val="24"/>
          <w:szCs w:val="22"/>
          <w:highlight w:val="none"/>
          <w:lang w:val="en-US" w:eastAsia="zh-CN" w:bidi="ar-SA"/>
        </w:rPr>
        <w:t>.保证设备医疗安全性。</w:t>
      </w:r>
    </w:p>
    <w:p w14:paraId="2248FB2A">
      <w:pPr>
        <w:pStyle w:val="2"/>
        <w:keepNext w:val="0"/>
        <w:keepLines w:val="0"/>
        <w:pageBreakBefore w:val="0"/>
        <w:widowControl w:val="0"/>
        <w:numPr>
          <w:ilvl w:val="0"/>
          <w:numId w:val="0"/>
        </w:numPr>
        <w:tabs>
          <w:tab w:val="left" w:pos="462"/>
          <w:tab w:val="left" w:pos="720"/>
        </w:tabs>
        <w:kinsoku/>
        <w:wordWrap/>
        <w:overflowPunct/>
        <w:topLinePunct w:val="0"/>
        <w:autoSpaceDE/>
        <w:autoSpaceDN/>
        <w:bidi w:val="0"/>
        <w:adjustRightInd w:val="0"/>
        <w:snapToGrid w:val="0"/>
        <w:spacing w:before="0" w:after="0" w:line="360" w:lineRule="auto"/>
        <w:ind w:firstLine="480" w:firstLineChars="200"/>
        <w:jc w:val="left"/>
        <w:textAlignment w:val="baseline"/>
        <w:rPr>
          <w:rFonts w:hint="default" w:ascii="宋体" w:hAnsi="宋体" w:eastAsia="宋体" w:cs="黑体"/>
          <w:b w:val="0"/>
          <w:bCs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8</w:t>
      </w:r>
      <w:r>
        <w:rPr>
          <w:rFonts w:hint="default" w:ascii="宋体" w:hAnsi="宋体" w:eastAsia="宋体" w:cs="黑体"/>
          <w:b w:val="0"/>
          <w:color w:val="auto"/>
          <w:kern w:val="2"/>
          <w:sz w:val="24"/>
          <w:szCs w:val="22"/>
          <w:highlight w:val="none"/>
          <w:lang w:val="en-US" w:eastAsia="zh-CN" w:bidi="ar-SA"/>
        </w:rPr>
        <w:t>.供应商对所维修设备更换零配件的质量保证为维修调试完毕交付使用之起6个月。</w:t>
      </w:r>
    </w:p>
    <w:p w14:paraId="03846E59">
      <w:pPr>
        <w:pStyle w:val="2"/>
        <w:tabs>
          <w:tab w:val="left" w:pos="0"/>
        </w:tabs>
        <w:spacing w:before="0" w:after="0" w:line="360" w:lineRule="auto"/>
        <w:rPr>
          <w:rFonts w:ascii="宋体" w:hAnsi="宋体" w:eastAsia="宋体"/>
          <w:color w:val="auto"/>
          <w:sz w:val="28"/>
          <w:szCs w:val="28"/>
          <w:highlight w:val="none"/>
        </w:rPr>
      </w:pPr>
      <w:r>
        <w:rPr>
          <w:rFonts w:hint="eastAsia" w:ascii="微软雅黑" w:hAnsi="微软雅黑" w:eastAsia="微软雅黑" w:cs="微软雅黑"/>
          <w:color w:val="auto"/>
          <w:highlight w:val="none"/>
          <w:lang w:val="en-US" w:eastAsia="zh-CN"/>
        </w:rPr>
        <w:t xml:space="preserve">★ </w:t>
      </w:r>
      <w:r>
        <w:rPr>
          <w:rFonts w:hint="eastAsia" w:ascii="微软雅黑" w:hAnsi="微软雅黑" w:eastAsia="微软雅黑" w:cs="微软雅黑"/>
          <w:b/>
          <w:bCs/>
          <w:color w:val="auto"/>
          <w:kern w:val="2"/>
          <w:sz w:val="21"/>
          <w:szCs w:val="24"/>
          <w:highlight w:val="none"/>
          <w:lang w:val="en-US" w:eastAsia="zh-CN" w:bidi="ar-SA"/>
        </w:rPr>
        <w:t>二、商务要求</w:t>
      </w:r>
    </w:p>
    <w:p w14:paraId="00A27CDC">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w:t>
      </w:r>
      <w:r>
        <w:rPr>
          <w:rFonts w:hint="eastAsia" w:ascii="宋体" w:hAnsi="宋体" w:eastAsia="宋体" w:cs="Times New Roman"/>
          <w:color w:val="auto"/>
          <w:sz w:val="24"/>
          <w:highlight w:val="none"/>
          <w:lang w:val="en-US" w:eastAsia="zh-CN"/>
        </w:rPr>
        <w:t>服务期限</w:t>
      </w:r>
      <w:r>
        <w:rPr>
          <w:rFonts w:hint="eastAsia" w:ascii="宋体" w:hAnsi="宋体" w:eastAsia="宋体" w:cs="Times New Roman"/>
          <w:color w:val="auto"/>
          <w:sz w:val="24"/>
          <w:highlight w:val="none"/>
        </w:rPr>
        <w:t>：</w:t>
      </w:r>
      <w:r>
        <w:rPr>
          <w:rFonts w:hint="eastAsia" w:ascii="宋体" w:hAnsi="宋体" w:cs="宋体"/>
          <w:color w:val="auto"/>
          <w:sz w:val="24"/>
          <w:highlight w:val="none"/>
          <w:lang w:val="en-US" w:eastAsia="zh-CN"/>
        </w:rPr>
        <w:t>合同签订后1</w:t>
      </w:r>
      <w:r>
        <w:rPr>
          <w:rFonts w:hint="eastAsia" w:cs="宋体"/>
          <w:color w:val="auto"/>
          <w:sz w:val="24"/>
          <w:highlight w:val="none"/>
          <w:lang w:val="en-US" w:eastAsia="zh-CN"/>
        </w:rPr>
        <w:t>5</w:t>
      </w:r>
      <w:r>
        <w:rPr>
          <w:rFonts w:hint="eastAsia" w:ascii="宋体" w:hAnsi="宋体" w:cs="宋体"/>
          <w:color w:val="auto"/>
          <w:sz w:val="24"/>
          <w:highlight w:val="none"/>
          <w:lang w:val="en-US" w:eastAsia="zh-CN"/>
        </w:rPr>
        <w:t>日内完成维修</w:t>
      </w:r>
      <w:r>
        <w:rPr>
          <w:rFonts w:hint="eastAsia" w:ascii="宋体" w:hAnsi="宋体" w:cs="宋体"/>
          <w:color w:val="auto"/>
          <w:sz w:val="24"/>
          <w:highlight w:val="none"/>
        </w:rPr>
        <w:t>。</w:t>
      </w:r>
    </w:p>
    <w:p w14:paraId="7BBC8A6B">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w:t>
      </w:r>
      <w:r>
        <w:rPr>
          <w:rFonts w:hint="eastAsia" w:ascii="宋体" w:hAnsi="宋体" w:eastAsia="宋体" w:cs="Times New Roman"/>
          <w:color w:val="auto"/>
          <w:sz w:val="24"/>
          <w:highlight w:val="none"/>
          <w:lang w:val="en-US" w:eastAsia="zh-CN"/>
        </w:rPr>
        <w:t>履约</w:t>
      </w:r>
      <w:r>
        <w:rPr>
          <w:rFonts w:hint="eastAsia" w:ascii="宋体" w:hAnsi="宋体" w:eastAsia="宋体" w:cs="Times New Roman"/>
          <w:color w:val="auto"/>
          <w:sz w:val="24"/>
          <w:highlight w:val="none"/>
        </w:rPr>
        <w:t>地点：</w:t>
      </w:r>
      <w:r>
        <w:rPr>
          <w:rFonts w:hint="eastAsia" w:ascii="宋体" w:hAnsi="宋体" w:cs="Times New Roman"/>
          <w:color w:val="auto"/>
          <w:sz w:val="24"/>
          <w:highlight w:val="none"/>
          <w:lang w:val="en-US" w:eastAsia="zh-CN"/>
        </w:rPr>
        <w:t>宜宾市第五人民医院</w:t>
      </w:r>
      <w:r>
        <w:rPr>
          <w:rFonts w:hint="eastAsia" w:ascii="宋体" w:hAnsi="宋体" w:eastAsia="宋体" w:cs="Times New Roman"/>
          <w:color w:val="auto"/>
          <w:sz w:val="24"/>
          <w:highlight w:val="none"/>
        </w:rPr>
        <w:t>。</w:t>
      </w:r>
    </w:p>
    <w:p w14:paraId="1FE00E13">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3.付款方式及要求：</w:t>
      </w:r>
      <w:r>
        <w:rPr>
          <w:rFonts w:hint="eastAsia" w:ascii="宋体" w:hAnsi="宋体" w:eastAsia="宋体" w:cs="Times New Roman"/>
          <w:color w:val="auto"/>
          <w:sz w:val="24"/>
          <w:highlight w:val="none"/>
          <w:lang w:val="en-US" w:eastAsia="zh-CN"/>
        </w:rPr>
        <w:t>验收合格之日起，采购人接到成交供应商通知与票据凭证资料后的</w:t>
      </w:r>
      <w:r>
        <w:rPr>
          <w:rFonts w:hint="eastAsia" w:cs="Times New Roman"/>
          <w:color w:val="auto"/>
          <w:sz w:val="24"/>
          <w:highlight w:val="none"/>
          <w:lang w:val="en-US" w:eastAsia="zh-CN"/>
        </w:rPr>
        <w:t>30</w:t>
      </w:r>
      <w:r>
        <w:rPr>
          <w:rFonts w:hint="eastAsia" w:ascii="宋体" w:hAnsi="宋体" w:eastAsia="宋体" w:cs="Times New Roman"/>
          <w:color w:val="auto"/>
          <w:sz w:val="24"/>
          <w:highlight w:val="none"/>
          <w:lang w:val="en-US" w:eastAsia="zh-CN"/>
        </w:rPr>
        <w:t>日内，向成交供应商</w:t>
      </w:r>
      <w:r>
        <w:rPr>
          <w:rFonts w:hint="eastAsia" w:ascii="宋体" w:hAnsi="宋体" w:eastAsia="宋体" w:cs="Times New Roman"/>
          <w:color w:val="auto"/>
          <w:sz w:val="24"/>
          <w:highlight w:val="none"/>
        </w:rPr>
        <w:t>支付合同总金额的</w:t>
      </w:r>
      <w:r>
        <w:rPr>
          <w:rFonts w:hint="eastAsia" w:ascii="宋体" w:hAnsi="宋体" w:eastAsia="宋体" w:cs="Times New Roman"/>
          <w:color w:val="auto"/>
          <w:sz w:val="24"/>
          <w:highlight w:val="none"/>
          <w:lang w:val="en-US" w:eastAsia="zh-CN"/>
        </w:rPr>
        <w:t>95</w:t>
      </w:r>
      <w:r>
        <w:rPr>
          <w:rFonts w:hint="eastAsia" w:ascii="宋体" w:hAnsi="宋体" w:eastAsia="宋体" w:cs="Times New Roman"/>
          <w:color w:val="auto"/>
          <w:sz w:val="24"/>
          <w:highlight w:val="none"/>
        </w:rPr>
        <w:t>%款项</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维修后6个月支付5%。</w:t>
      </w:r>
      <w:r>
        <w:rPr>
          <w:rFonts w:hint="eastAsia" w:ascii="宋体" w:hAnsi="宋体" w:eastAsia="宋体" w:cs="Times New Roman"/>
          <w:color w:val="auto"/>
          <w:sz w:val="24"/>
          <w:highlight w:val="none"/>
        </w:rPr>
        <w:t>（成交供应商须向采购人出具合法有效完整的增值税发票及凭证资料进行支付结算）。</w:t>
      </w:r>
    </w:p>
    <w:p w14:paraId="107A5A91">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4.报价要求</w:t>
      </w:r>
      <w:bookmarkStart w:id="1" w:name="_Hlk25309575"/>
      <w:r>
        <w:rPr>
          <w:rFonts w:hint="eastAsia" w:ascii="宋体" w:hAnsi="宋体" w:eastAsia="宋体" w:cs="Times New Roman"/>
          <w:color w:val="auto"/>
          <w:sz w:val="24"/>
          <w:highlight w:val="none"/>
        </w:rPr>
        <w:t>：</w:t>
      </w:r>
      <w:bookmarkEnd w:id="1"/>
      <w:r>
        <w:rPr>
          <w:rFonts w:hint="eastAsia" w:ascii="宋体" w:hAnsi="宋体" w:eastAsia="宋体" w:cs="Times New Roman"/>
          <w:color w:val="auto"/>
          <w:sz w:val="24"/>
          <w:highlight w:val="none"/>
        </w:rPr>
        <w:t>供应商的报价是供应商响应采购项目要求的全部工作内容的价格体现，其总价即为履行合同的固定价格。</w:t>
      </w:r>
      <w:r>
        <w:rPr>
          <w:rFonts w:hint="eastAsia"/>
          <w:sz w:val="24"/>
          <w:szCs w:val="32"/>
        </w:rPr>
        <w:t>报价包含维修费、</w:t>
      </w:r>
      <w:r>
        <w:rPr>
          <w:rFonts w:hint="eastAsia"/>
          <w:sz w:val="24"/>
          <w:szCs w:val="32"/>
          <w:lang w:val="en-US" w:eastAsia="zh-CN"/>
        </w:rPr>
        <w:t>配件</w:t>
      </w:r>
      <w:r>
        <w:rPr>
          <w:rFonts w:hint="eastAsia"/>
          <w:sz w:val="24"/>
          <w:szCs w:val="32"/>
        </w:rPr>
        <w:t>费、</w:t>
      </w:r>
      <w:r>
        <w:rPr>
          <w:rFonts w:hint="eastAsia"/>
          <w:sz w:val="24"/>
          <w:szCs w:val="32"/>
          <w:lang w:val="en-US" w:eastAsia="zh-CN"/>
        </w:rPr>
        <w:t>人工费、税费等</w:t>
      </w:r>
      <w:r>
        <w:rPr>
          <w:rFonts w:hint="eastAsia" w:ascii="宋体" w:hAnsi="宋体" w:eastAsia="宋体" w:cs="Times New Roman"/>
          <w:color w:val="auto"/>
          <w:sz w:val="24"/>
          <w:highlight w:val="none"/>
        </w:rPr>
        <w:t>。除此之外，采购人不再另行向供应商支付其他费用。</w:t>
      </w:r>
    </w:p>
    <w:p w14:paraId="3E8A5B88">
      <w:pPr>
        <w:widowControl w:val="0"/>
        <w:tabs>
          <w:tab w:val="left" w:pos="0"/>
        </w:tabs>
        <w:spacing w:line="360" w:lineRule="auto"/>
        <w:ind w:firstLine="480" w:firstLineChars="200"/>
        <w:jc w:val="both"/>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 xml:space="preserve">5.质保要求 </w:t>
      </w:r>
    </w:p>
    <w:p w14:paraId="62CCB87B">
      <w:pPr>
        <w:keepNext w:val="0"/>
        <w:keepLines w:val="0"/>
        <w:widowControl/>
        <w:numPr>
          <w:ilvl w:val="0"/>
          <w:numId w:val="0"/>
        </w:numPr>
        <w:suppressLineNumbers w:val="0"/>
        <w:tabs>
          <w:tab w:val="left" w:pos="0"/>
        </w:tabs>
        <w:spacing w:line="360" w:lineRule="auto"/>
        <w:ind w:firstLine="480" w:firstLineChars="200"/>
        <w:jc w:val="left"/>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5.1</w:t>
      </w:r>
      <w:r>
        <w:rPr>
          <w:rFonts w:hint="eastAsia" w:ascii="宋体" w:hAnsi="宋体" w:cs="黑体"/>
          <w:b w:val="0"/>
          <w:color w:val="auto"/>
          <w:kern w:val="2"/>
          <w:sz w:val="24"/>
          <w:szCs w:val="22"/>
          <w:highlight w:val="none"/>
          <w:lang w:val="en-US" w:eastAsia="zh-CN" w:bidi="ar-SA"/>
        </w:rPr>
        <w:t>更换配件</w:t>
      </w:r>
      <w:r>
        <w:rPr>
          <w:rFonts w:hint="eastAsia" w:ascii="宋体" w:hAnsi="宋体" w:eastAsia="宋体" w:cs="黑体"/>
          <w:b w:val="0"/>
          <w:color w:val="auto"/>
          <w:kern w:val="2"/>
          <w:sz w:val="24"/>
          <w:szCs w:val="22"/>
          <w:highlight w:val="none"/>
          <w:lang w:val="en-US" w:eastAsia="zh-CN" w:bidi="ar-SA"/>
        </w:rPr>
        <w:t>质保</w:t>
      </w:r>
      <w:r>
        <w:rPr>
          <w:rFonts w:hint="eastAsia" w:ascii="宋体" w:hAnsi="宋体" w:cs="黑体"/>
          <w:b w:val="0"/>
          <w:color w:val="auto"/>
          <w:kern w:val="2"/>
          <w:sz w:val="24"/>
          <w:szCs w:val="22"/>
          <w:highlight w:val="none"/>
          <w:lang w:val="en-US" w:eastAsia="zh-CN" w:bidi="ar-SA"/>
        </w:rPr>
        <w:t>期</w:t>
      </w:r>
      <w:r>
        <w:rPr>
          <w:rFonts w:hint="eastAsia" w:ascii="宋体" w:hAnsi="宋体" w:eastAsia="宋体" w:cs="黑体"/>
          <w:b w:val="0"/>
          <w:color w:val="auto"/>
          <w:kern w:val="2"/>
          <w:sz w:val="24"/>
          <w:szCs w:val="22"/>
          <w:highlight w:val="none"/>
          <w:lang w:val="en-US" w:eastAsia="zh-CN" w:bidi="ar-SA"/>
        </w:rPr>
        <w:t>：</w:t>
      </w:r>
      <w:r>
        <w:rPr>
          <w:rFonts w:hint="eastAsia" w:ascii="宋体" w:hAnsi="宋体" w:eastAsia="宋体" w:cs="黑体"/>
          <w:b/>
          <w:bCs/>
          <w:color w:val="auto"/>
          <w:kern w:val="2"/>
          <w:sz w:val="24"/>
          <w:szCs w:val="22"/>
          <w:highlight w:val="none"/>
          <w:lang w:val="en-US" w:eastAsia="zh-CN" w:bidi="ar-SA"/>
        </w:rPr>
        <w:t>见</w:t>
      </w:r>
      <w:r>
        <w:rPr>
          <w:rFonts w:hint="eastAsia"/>
          <w:b/>
          <w:bCs/>
          <w:color w:val="auto"/>
          <w:sz w:val="24"/>
          <w:highlight w:val="none"/>
          <w:lang w:val="en-US" w:eastAsia="zh-CN"/>
        </w:rPr>
        <w:t>故障情况清单</w:t>
      </w:r>
      <w:r>
        <w:rPr>
          <w:rFonts w:hint="eastAsia" w:ascii="宋体" w:hAnsi="宋体" w:eastAsia="宋体" w:cs="黑体"/>
          <w:b w:val="0"/>
          <w:color w:val="auto"/>
          <w:kern w:val="2"/>
          <w:sz w:val="24"/>
          <w:szCs w:val="22"/>
          <w:highlight w:val="none"/>
          <w:lang w:val="en-US" w:eastAsia="zh-CN" w:bidi="ar-SA"/>
        </w:rPr>
        <w:t>，</w:t>
      </w:r>
      <w:r>
        <w:rPr>
          <w:rFonts w:hint="eastAsia" w:ascii="宋体" w:hAnsi="宋体" w:cs="黑体"/>
          <w:b w:val="0"/>
          <w:color w:val="auto"/>
          <w:kern w:val="2"/>
          <w:sz w:val="24"/>
          <w:szCs w:val="22"/>
          <w:highlight w:val="none"/>
          <w:lang w:val="en-US" w:eastAsia="zh-CN" w:bidi="ar-SA"/>
        </w:rPr>
        <w:t>从</w:t>
      </w:r>
      <w:r>
        <w:rPr>
          <w:rFonts w:hint="eastAsia" w:ascii="宋体" w:hAnsi="宋体" w:eastAsia="宋体" w:cs="黑体"/>
          <w:b w:val="0"/>
          <w:color w:val="auto"/>
          <w:kern w:val="2"/>
          <w:sz w:val="24"/>
          <w:szCs w:val="22"/>
          <w:highlight w:val="none"/>
          <w:lang w:val="en-US" w:eastAsia="zh-CN" w:bidi="ar-SA"/>
        </w:rPr>
        <w:t>验收合格后开始计算</w:t>
      </w:r>
      <w:r>
        <w:rPr>
          <w:rFonts w:hint="eastAsia" w:ascii="宋体" w:hAnsi="宋体" w:cs="宋体"/>
          <w:color w:val="auto"/>
          <w:sz w:val="24"/>
          <w:highlight w:val="none"/>
          <w:lang w:val="en-US" w:eastAsia="zh-CN"/>
        </w:rPr>
        <w:t>。</w:t>
      </w:r>
      <w:r>
        <w:rPr>
          <w:rFonts w:hint="eastAsia" w:ascii="宋体" w:hAnsi="宋体" w:eastAsia="宋体" w:cs="黑体"/>
          <w:b w:val="0"/>
          <w:color w:val="auto"/>
          <w:kern w:val="2"/>
          <w:sz w:val="24"/>
          <w:szCs w:val="22"/>
          <w:highlight w:val="none"/>
          <w:lang w:val="en-US" w:eastAsia="zh-CN" w:bidi="ar-SA"/>
        </w:rPr>
        <w:t>在质保期内，所有的人工费、差旅费等所有费用均由供应商承担。</w:t>
      </w:r>
    </w:p>
    <w:p w14:paraId="6A49F95F">
      <w:pPr>
        <w:widowControl w:val="0"/>
        <w:tabs>
          <w:tab w:val="left" w:pos="0"/>
        </w:tabs>
        <w:spacing w:line="360" w:lineRule="auto"/>
        <w:ind w:firstLine="480" w:firstLineChars="200"/>
        <w:jc w:val="both"/>
        <w:rPr>
          <w:rFonts w:hint="eastAsia" w:ascii="宋体" w:hAnsi="宋体" w:eastAsia="宋体" w:cs="黑体"/>
          <w:b w:val="0"/>
          <w:color w:val="auto"/>
          <w:kern w:val="2"/>
          <w:sz w:val="24"/>
          <w:szCs w:val="22"/>
          <w:highlight w:val="none"/>
          <w:lang w:val="en-US" w:eastAsia="zh-CN" w:bidi="ar-SA"/>
        </w:rPr>
      </w:pPr>
      <w:r>
        <w:rPr>
          <w:rFonts w:hint="eastAsia" w:ascii="宋体" w:hAnsi="宋体" w:eastAsia="宋体" w:cs="黑体"/>
          <w:b w:val="0"/>
          <w:color w:val="auto"/>
          <w:kern w:val="2"/>
          <w:sz w:val="24"/>
          <w:szCs w:val="22"/>
          <w:highlight w:val="none"/>
          <w:lang w:val="en-US" w:eastAsia="zh-CN" w:bidi="ar-SA"/>
        </w:rPr>
        <w:t>5.2供应商应有完善的技术支持与服务体系，专人负责与采购人联系售后服务事宜，必要的售后机具配置、具有专门固定的售后服务电话，并能提供本地化服务。</w:t>
      </w:r>
    </w:p>
    <w:p w14:paraId="0449502B">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w:t>
      </w:r>
      <w:r>
        <w:rPr>
          <w:rFonts w:hint="eastAsia" w:ascii="宋体" w:hAnsi="宋体" w:eastAsia="宋体" w:cs="Times New Roman"/>
          <w:color w:val="auto"/>
          <w:sz w:val="24"/>
          <w:highlight w:val="none"/>
        </w:rPr>
        <w:t>.验收：</w:t>
      </w:r>
      <w:bookmarkStart w:id="2" w:name="_GoBack"/>
      <w:bookmarkEnd w:id="2"/>
    </w:p>
    <w:p w14:paraId="073BCEF7">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采购人和相关部门按照国家规定组织专家组进行验收，没有国家标准的按行业标准验收，无行业标准的按地方或企业标准验收，成交供应商予以配合。同时验收时将严格对照本项目</w:t>
      </w:r>
      <w:r>
        <w:rPr>
          <w:rFonts w:hint="eastAsia" w:cs="Times New Roman"/>
          <w:color w:val="auto"/>
          <w:sz w:val="24"/>
          <w:highlight w:val="none"/>
          <w:lang w:val="en-US" w:eastAsia="zh-CN"/>
        </w:rPr>
        <w:t>谈判</w:t>
      </w:r>
      <w:r>
        <w:rPr>
          <w:rFonts w:hint="eastAsia" w:ascii="宋体" w:hAnsi="宋体" w:eastAsia="宋体" w:cs="Times New Roman"/>
          <w:color w:val="auto"/>
          <w:sz w:val="24"/>
          <w:highlight w:val="none"/>
        </w:rPr>
        <w:t>文件及成交供应商的响应文件进行验收，若发现有一项与本项目</w:t>
      </w:r>
      <w:r>
        <w:rPr>
          <w:rFonts w:hint="eastAsia" w:cs="Times New Roman"/>
          <w:color w:val="auto"/>
          <w:sz w:val="24"/>
          <w:highlight w:val="none"/>
          <w:lang w:val="en-US" w:eastAsia="zh-CN"/>
        </w:rPr>
        <w:t>谈判</w:t>
      </w:r>
      <w:r>
        <w:rPr>
          <w:rFonts w:hint="eastAsia" w:ascii="宋体" w:hAnsi="宋体" w:eastAsia="宋体" w:cs="Times New Roman"/>
          <w:color w:val="auto"/>
          <w:sz w:val="24"/>
          <w:highlight w:val="none"/>
        </w:rPr>
        <w:t>文件或成交供应商响应文件有冲突的地方，采购人将不予验收，并不予支付采购资金，并且由此引发的一切损失由成交供应商承担。</w:t>
      </w:r>
    </w:p>
    <w:p w14:paraId="4BCE0688">
      <w:pPr>
        <w:tabs>
          <w:tab w:val="left" w:pos="0"/>
        </w:tabs>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完成</w:t>
      </w:r>
      <w:r>
        <w:rPr>
          <w:rFonts w:hint="eastAsia" w:ascii="宋体" w:hAnsi="宋体" w:eastAsia="宋体" w:cs="Times New Roman"/>
          <w:color w:val="auto"/>
          <w:sz w:val="24"/>
          <w:highlight w:val="none"/>
          <w:lang w:val="en-US" w:eastAsia="zh-CN"/>
        </w:rPr>
        <w:t>维修</w:t>
      </w:r>
      <w:r>
        <w:rPr>
          <w:rFonts w:hint="eastAsia" w:ascii="宋体" w:hAnsi="宋体" w:eastAsia="宋体" w:cs="Times New Roman"/>
          <w:color w:val="auto"/>
          <w:sz w:val="24"/>
          <w:highlight w:val="none"/>
        </w:rPr>
        <w:t>服务后，供应商验收申请之日起</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0日内，组织对采购项目进行验收</w:t>
      </w:r>
      <w:r>
        <w:rPr>
          <w:rFonts w:hint="eastAsia" w:ascii="宋体" w:hAnsi="宋体" w:eastAsia="宋体" w:cs="Times New Roman"/>
          <w:color w:val="auto"/>
          <w:sz w:val="24"/>
          <w:highlight w:val="none"/>
          <w:lang w:eastAsia="zh-CN"/>
        </w:rPr>
        <w:t>。</w:t>
      </w:r>
    </w:p>
    <w:p w14:paraId="491C258F">
      <w:pPr>
        <w:tabs>
          <w:tab w:val="left" w:pos="0"/>
        </w:tabs>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其他未尽事宜应严格按照《财政部关于进一步加强政府采购需求和履约验收管理的指导意见》(财库〔2016〕205号)的要求进行验收。</w:t>
      </w:r>
    </w:p>
    <w:p w14:paraId="6BDFFC37">
      <w:pPr>
        <w:tabs>
          <w:tab w:val="left" w:pos="0"/>
        </w:tabs>
        <w:spacing w:line="360" w:lineRule="auto"/>
        <w:ind w:firstLine="480" w:firstLineChars="200"/>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验收结果合格的，采购人向成交供应商支付剩余采购资金；验收结果不合格的，也将不予支付采购资金。</w:t>
      </w:r>
    </w:p>
    <w:p w14:paraId="1661EB2F">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7.违约责任 </w:t>
      </w:r>
    </w:p>
    <w:p w14:paraId="6D5854E4">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7.1采购人违约责任采购人逾期支付服务款的,除应及时付足外,应向供应商偿付欠款总额万分之一/天的违约金；逾期付款超过90天的,供应商有权终止合同。</w:t>
      </w:r>
    </w:p>
    <w:p w14:paraId="72D00B04">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7.2供应商违约责任 </w:t>
      </w:r>
    </w:p>
    <w:p w14:paraId="0ED6D2F7">
      <w:pPr>
        <w:numPr>
          <w:ilvl w:val="0"/>
          <w:numId w:val="3"/>
        </w:num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供应商交付的维修服务不符合合同规定的,供应商应向采购人支付合同总价的百分之五的违约金,并须在合同规定的维修时间内完成维修并保障采购人正常使用,否则,视作供应商不能交付服务而违约,按本条本款下述第“(2)”项规定由供应商偿付违约金给采购人。 </w:t>
      </w:r>
    </w:p>
    <w:p w14:paraId="6F9FEB28">
      <w:pPr>
        <w:numPr>
          <w:ilvl w:val="0"/>
          <w:numId w:val="3"/>
        </w:numPr>
        <w:spacing w:line="360" w:lineRule="auto"/>
        <w:ind w:left="0" w:leftChars="0"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供应商不能交付服务或逾期交付服务而违约的,除应及时交付外,应向采购人偿付逾期交付款项总额的万分之十/天的违约金；逾期交付超过10天,采购人有权终止合同,供应商则应按合同总价的百分之十的款额向采购人偿付违约金,并须全额退还采购人已经付给供应商的款项及其利息。</w:t>
      </w:r>
    </w:p>
    <w:p w14:paraId="64F4D64A">
      <w:pPr>
        <w:numPr>
          <w:ilvl w:val="0"/>
          <w:numId w:val="3"/>
        </w:numPr>
        <w:spacing w:line="360" w:lineRule="auto"/>
        <w:ind w:left="0" w:leftChars="0"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供应商保证本合同的权利无瑕疵,包括服务所涉及的配件所有权及知识产权等权利无瑕疵。如任何第三方经法院(或仲裁机构)裁决有权对上述货物主张权利或国家机关依法对货物进行没收查处的,供应商除应向采购人返还已收款项外,还应另按合同总价的百分之十向采购人支付违约金。 </w:t>
      </w:r>
    </w:p>
    <w:p w14:paraId="19290DEC">
      <w:pPr>
        <w:numPr>
          <w:ilvl w:val="0"/>
          <w:numId w:val="0"/>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（4）供应商偿付的违约金不足以弥补采购人损失的,还应按采购人损失尚未弥补的部分,支付给采购人。</w:t>
      </w:r>
    </w:p>
    <w:p w14:paraId="326262EB">
      <w:pPr>
        <w:numPr>
          <w:ilvl w:val="0"/>
          <w:numId w:val="0"/>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5）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 </w:t>
      </w:r>
    </w:p>
    <w:p w14:paraId="21B12526">
      <w:pPr>
        <w:numPr>
          <w:ilvl w:val="0"/>
          <w:numId w:val="4"/>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争议解决办法 </w:t>
      </w:r>
    </w:p>
    <w:p w14:paraId="4C27D443">
      <w:pPr>
        <w:numPr>
          <w:ilvl w:val="0"/>
          <w:numId w:val="0"/>
        </w:numPr>
        <w:tabs>
          <w:tab w:val="left" w:pos="0"/>
        </w:tabs>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合同履行期间,若双方发生争议，可协商或由有关部门调解解决，协商或调解不成的，由当事人依法维护其合法权益，并由采购人所在地人民法院</w:t>
      </w:r>
      <w:r>
        <w:rPr>
          <w:rFonts w:hint="eastAsia"/>
          <w:lang w:val="en-US" w:eastAsia="zh-CN"/>
        </w:rPr>
        <w:t>管辖</w:t>
      </w:r>
      <w:r>
        <w:rPr>
          <w:rFonts w:hint="eastAsia" w:ascii="宋体" w:hAnsi="宋体" w:eastAsia="宋体" w:cs="Times New Roman"/>
          <w:color w:val="auto"/>
          <w:sz w:val="24"/>
          <w:highlight w:val="none"/>
          <w:lang w:val="en-US" w:eastAsia="zh-CN"/>
        </w:rPr>
        <w:t>。</w:t>
      </w:r>
    </w:p>
    <w:p w14:paraId="6AF9090A">
      <w:pPr>
        <w:tabs>
          <w:tab w:val="left" w:pos="0"/>
        </w:tabs>
        <w:spacing w:line="400" w:lineRule="exact"/>
        <w:ind w:firstLine="422" w:firstLineChars="200"/>
        <w:rPr>
          <w:rFonts w:hint="eastAsia" w:ascii="宋体" w:hAnsi="宋体"/>
          <w:b/>
          <w:bCs/>
          <w:color w:val="auto"/>
          <w:highlight w:val="none"/>
        </w:rPr>
      </w:pPr>
      <w:r>
        <w:rPr>
          <w:rFonts w:hint="eastAsia" w:ascii="宋体" w:hAnsi="宋体"/>
          <w:b/>
          <w:bCs/>
          <w:color w:val="auto"/>
          <w:highlight w:val="none"/>
        </w:rPr>
        <w:t>注：</w:t>
      </w:r>
      <w:r>
        <w:rPr>
          <w:rFonts w:ascii="宋体" w:hAnsi="宋体"/>
          <w:b/>
          <w:bCs/>
          <w:color w:val="auto"/>
          <w:highlight w:val="none"/>
        </w:rPr>
        <w:t>1</w:t>
      </w:r>
      <w:r>
        <w:rPr>
          <w:rFonts w:hint="eastAsia" w:ascii="宋体" w:hAnsi="宋体"/>
          <w:b/>
          <w:bCs/>
          <w:color w:val="auto"/>
          <w:highlight w:val="none"/>
        </w:rPr>
        <w:t>.本章实质性条款，供应商必须满足；未满足，按照无效响应处理；</w:t>
      </w:r>
    </w:p>
    <w:p w14:paraId="3DA0153C">
      <w:pPr>
        <w:tabs>
          <w:tab w:val="left" w:pos="0"/>
        </w:tabs>
        <w:spacing w:line="400" w:lineRule="exact"/>
        <w:ind w:firstLine="422" w:firstLineChars="200"/>
        <w:rPr>
          <w:rFonts w:ascii="宋体" w:hAnsi="宋体"/>
          <w:b/>
          <w:bCs/>
          <w:color w:val="auto"/>
          <w:highlight w:val="none"/>
        </w:rPr>
      </w:pPr>
      <w:r>
        <w:rPr>
          <w:rFonts w:ascii="宋体" w:hAnsi="宋体"/>
          <w:b/>
          <w:bCs/>
          <w:color w:val="auto"/>
          <w:highlight w:val="none"/>
        </w:rPr>
        <w:t>2</w:t>
      </w:r>
      <w:r>
        <w:rPr>
          <w:rFonts w:hint="eastAsia" w:ascii="宋体" w:hAnsi="宋体"/>
          <w:b/>
          <w:bCs/>
          <w:color w:val="auto"/>
          <w:highlight w:val="none"/>
        </w:rPr>
        <w:t>.本章节内容在谈判过程中，谈判小组在获得采购人代表确认的前提下，可以根据谈判情况实质性变动相关内容。谈判小组对谈判文件作出的实质性变动是谈判文件的有效组成部分。</w:t>
      </w:r>
    </w:p>
    <w:p w14:paraId="60939214">
      <w:pPr>
        <w:rPr>
          <w:b/>
          <w:bCs/>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9"/>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B82DEC97"/>
    <w:multiLevelType w:val="singleLevel"/>
    <w:tmpl w:val="B82DEC97"/>
    <w:lvl w:ilvl="0" w:tentative="0">
      <w:start w:val="1"/>
      <w:numFmt w:val="chineseCounting"/>
      <w:suff w:val="nothing"/>
      <w:lvlText w:val="（%1）"/>
      <w:lvlJc w:val="left"/>
      <w:rPr>
        <w:rFonts w:hint="eastAsia"/>
      </w:rPr>
    </w:lvl>
  </w:abstractNum>
  <w:abstractNum w:abstractNumId="2">
    <w:nsid w:val="EA80792F"/>
    <w:multiLevelType w:val="singleLevel"/>
    <w:tmpl w:val="EA80792F"/>
    <w:lvl w:ilvl="0" w:tentative="0">
      <w:start w:val="8"/>
      <w:numFmt w:val="decimal"/>
      <w:lvlText w:val="%1."/>
      <w:lvlJc w:val="left"/>
      <w:pPr>
        <w:tabs>
          <w:tab w:val="left" w:pos="312"/>
        </w:tabs>
      </w:pPr>
    </w:lvl>
  </w:abstractNum>
  <w:abstractNum w:abstractNumId="3">
    <w:nsid w:val="274A54D0"/>
    <w:multiLevelType w:val="singleLevel"/>
    <w:tmpl w:val="274A54D0"/>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B8E"/>
    <w:rsid w:val="02E41D4E"/>
    <w:rsid w:val="03101E00"/>
    <w:rsid w:val="04DD1182"/>
    <w:rsid w:val="05AF76AE"/>
    <w:rsid w:val="065347BE"/>
    <w:rsid w:val="0B4E4CEF"/>
    <w:rsid w:val="0D5F5E98"/>
    <w:rsid w:val="12E74EDC"/>
    <w:rsid w:val="14487C01"/>
    <w:rsid w:val="21F41C22"/>
    <w:rsid w:val="246C71FF"/>
    <w:rsid w:val="2C7C3EDF"/>
    <w:rsid w:val="2CE90909"/>
    <w:rsid w:val="302E54F0"/>
    <w:rsid w:val="359E5BFF"/>
    <w:rsid w:val="38CE7B47"/>
    <w:rsid w:val="39C22908"/>
    <w:rsid w:val="3AA53200"/>
    <w:rsid w:val="3AEB6BAD"/>
    <w:rsid w:val="3BC42B34"/>
    <w:rsid w:val="3DF8540E"/>
    <w:rsid w:val="4321209E"/>
    <w:rsid w:val="435B46F3"/>
    <w:rsid w:val="445D5F4C"/>
    <w:rsid w:val="47A651C2"/>
    <w:rsid w:val="51F157A9"/>
    <w:rsid w:val="5E2B7087"/>
    <w:rsid w:val="6681781A"/>
    <w:rsid w:val="66F677E1"/>
    <w:rsid w:val="694369EE"/>
    <w:rsid w:val="76120095"/>
    <w:rsid w:val="7CE9417B"/>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after="120"/>
    </w:pPr>
    <w:rPr>
      <w:rFonts w:ascii="Calibri"/>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15、“一、”二级标题"/>
    <w:basedOn w:val="1"/>
    <w:autoRedefine/>
    <w:qFormat/>
    <w:uiPriority w:val="0"/>
    <w:pPr>
      <w:numPr>
        <w:ilvl w:val="1"/>
        <w:numId w:val="1"/>
      </w:numPr>
      <w:tabs>
        <w:tab w:val="left" w:pos="0"/>
      </w:tabs>
      <w:wordWrap w:val="0"/>
      <w:topLinePunct/>
      <w:ind w:firstLine="803" w:firstLineChars="200"/>
      <w:outlineLvl w:val="1"/>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1921</Words>
  <Characters>1988</Characters>
  <Lines>0</Lines>
  <Paragraphs>0</Paragraphs>
  <TotalTime>6</TotalTime>
  <ScaleCrop>false</ScaleCrop>
  <LinksUpToDate>false</LinksUpToDate>
  <CharactersWithSpaces>2046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2026-07-22T09:35:00Z</dcterms:created>
  <dc:creator>asus</dc:creator>
  <cp:lastModifiedBy>小情绪</cp:lastModifiedBy>
  <dcterms:modified xsi:type="dcterms:W3CDTF">2026-08-11T03:33:40Z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CC3BAFA687DD41B29C293F0499E1F20D_13</vt:lpwstr>
  </property>
</Properties>
</file>