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AADD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right="0"/>
        <w:jc w:val="left"/>
        <w:rPr>
          <w:rFonts w:hint="eastAsia" w:ascii="仿宋" w:hAnsi="仿宋" w:eastAsia="仿宋" w:cs="仿宋"/>
          <w:b/>
          <w:bCs/>
          <w:i w:val="0"/>
          <w:iCs w:val="0"/>
          <w:caps w:val="0"/>
          <w:color w:val="000000"/>
          <w:spacing w:val="0"/>
          <w:kern w:val="0"/>
          <w:sz w:val="28"/>
          <w:szCs w:val="28"/>
          <w:highlight w:val="none"/>
          <w:shd w:val="clear" w:fill="FFFFFF"/>
          <w:lang w:val="en-US" w:eastAsia="zh-CN" w:bidi="ar"/>
        </w:rPr>
      </w:pPr>
      <w:r>
        <w:rPr>
          <w:rFonts w:hint="eastAsia" w:ascii="仿宋" w:hAnsi="仿宋" w:eastAsia="仿宋" w:cs="仿宋"/>
          <w:b/>
          <w:bCs/>
          <w:i w:val="0"/>
          <w:iCs w:val="0"/>
          <w:caps w:val="0"/>
          <w:color w:val="000000"/>
          <w:spacing w:val="0"/>
          <w:kern w:val="0"/>
          <w:sz w:val="28"/>
          <w:szCs w:val="28"/>
          <w:highlight w:val="none"/>
          <w:shd w:val="clear" w:fill="FFFFFF"/>
          <w:lang w:val="en-US" w:eastAsia="zh-CN" w:bidi="ar"/>
        </w:rPr>
        <w:t>附件1：项目服务内容及技术参数要求</w:t>
      </w:r>
    </w:p>
    <w:p w14:paraId="14768A65">
      <w:pPr>
        <w:keepNext/>
        <w:keepLines/>
        <w:widowControl w:val="0"/>
        <w:spacing w:before="0" w:after="0" w:line="240" w:lineRule="auto"/>
        <w:jc w:val="both"/>
        <w:outlineLvl w:val="1"/>
        <w:rPr>
          <w:rFonts w:hint="eastAsia" w:ascii="仿宋" w:hAnsi="仿宋" w:eastAsia="宋体" w:cs="仿宋"/>
          <w:b/>
          <w:bCs/>
          <w:i w:val="0"/>
          <w:strike w:val="0"/>
          <w:color w:val="auto"/>
          <w:kern w:val="2"/>
          <w:sz w:val="28"/>
          <w:szCs w:val="28"/>
          <w:highlight w:val="none"/>
          <w:u w:val="none"/>
          <w:lang w:val="en-US" w:eastAsia="zh-CN" w:bidi="ar-SA"/>
        </w:rPr>
      </w:pPr>
      <w:bookmarkStart w:id="0" w:name="_Toc18579"/>
      <w:r>
        <w:rPr>
          <w:rFonts w:hint="eastAsia" w:ascii="仿宋" w:hAnsi="仿宋" w:eastAsia="宋体" w:cs="仿宋"/>
          <w:b/>
          <w:bCs/>
          <w:i w:val="0"/>
          <w:strike w:val="0"/>
          <w:color w:val="auto"/>
          <w:kern w:val="2"/>
          <w:sz w:val="28"/>
          <w:szCs w:val="28"/>
          <w:highlight w:val="none"/>
          <w:u w:val="none"/>
          <w:lang w:val="en-US" w:eastAsia="zh-CN" w:bidi="ar-SA"/>
        </w:rPr>
        <w:t>★一、</w:t>
      </w:r>
      <w:bookmarkEnd w:id="0"/>
      <w:r>
        <w:rPr>
          <w:rFonts w:hint="eastAsia" w:ascii="仿宋" w:hAnsi="仿宋" w:eastAsia="宋体" w:cs="仿宋"/>
          <w:b/>
          <w:bCs/>
          <w:i w:val="0"/>
          <w:strike w:val="0"/>
          <w:color w:val="auto"/>
          <w:kern w:val="2"/>
          <w:sz w:val="28"/>
          <w:szCs w:val="28"/>
          <w:highlight w:val="none"/>
          <w:u w:val="none"/>
          <w:lang w:val="en-US" w:eastAsia="zh-CN" w:bidi="ar-SA"/>
        </w:rPr>
        <w:t>采购内容</w:t>
      </w:r>
    </w:p>
    <w:p w14:paraId="6D84EDD8">
      <w:pPr>
        <w:pStyle w:val="2"/>
        <w:numPr>
          <w:ilvl w:val="0"/>
          <w:numId w:val="2"/>
        </w:numPr>
        <w:spacing w:before="0" w:after="120" w:line="360" w:lineRule="auto"/>
        <w:ind w:left="0" w:leftChars="0" w:firstLine="281" w:firstLineChars="0"/>
        <w:jc w:val="left"/>
        <w:rPr>
          <w:rFonts w:hint="eastAsia" w:eastAsia="宋体"/>
          <w:b w:val="0"/>
          <w:i w:val="0"/>
          <w:strike w:val="0"/>
          <w:color w:val="auto"/>
          <w:sz w:val="24"/>
          <w:highlight w:val="none"/>
          <w:u w:val="none"/>
          <w:lang w:val="en-US" w:eastAsia="zh-CN"/>
        </w:rPr>
      </w:pPr>
      <w:r>
        <w:rPr>
          <w:rFonts w:hint="eastAsia" w:ascii="仿宋" w:hAnsi="仿宋" w:eastAsia="宋体" w:cs="仿宋"/>
          <w:b w:val="0"/>
          <w:i w:val="0"/>
          <w:strike w:val="0"/>
          <w:color w:val="auto"/>
          <w:sz w:val="24"/>
          <w:szCs w:val="28"/>
          <w:highlight w:val="none"/>
          <w:u w:val="none"/>
          <w:lang w:val="en-US" w:eastAsia="zh-CN"/>
        </w:rPr>
        <w:t>服务内容</w:t>
      </w:r>
    </w:p>
    <w:p w14:paraId="4F7FEFA9">
      <w:pPr>
        <w:keepNext w:val="0"/>
        <w:keepLines w:val="0"/>
        <w:widowControl/>
        <w:suppressLineNumbers w:val="0"/>
        <w:spacing w:before="0" w:beforeAutospacing="0" w:after="120" w:afterAutospacing="0" w:line="360" w:lineRule="auto"/>
        <w:ind w:left="0" w:leftChars="0" w:right="0" w:rightChars="0" w:firstLine="480" w:firstLineChars="200"/>
        <w:jc w:val="both"/>
        <w:rPr>
          <w:rFonts w:hint="default"/>
          <w:color w:val="auto"/>
          <w:highlight w:val="none"/>
          <w:lang w:val="en-US" w:eastAsia="zh-CN"/>
        </w:rPr>
      </w:pPr>
      <w:r>
        <w:rPr>
          <w:rFonts w:hint="eastAsia"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t>完成院区 2台</w:t>
      </w:r>
      <w:r>
        <w:rPr>
          <w:rFonts w:hint="eastAsia" w:ascii="仿宋_GB2312" w:hAnsi="仿宋" w:eastAsia="仿宋_GB2312" w:cs="仿宋"/>
          <w:sz w:val="24"/>
          <w:szCs w:val="24"/>
          <w:highlight w:val="none"/>
          <w:lang w:val="en-US" w:eastAsia="zh-CN"/>
        </w:rPr>
        <w:t>1000KVA</w:t>
      </w:r>
      <w:r>
        <w:rPr>
          <w:rFonts w:hint="eastAsia"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t>箱变预试验服务，服务涵盖高压真空断路器，PT柜、微机保护设备、接地电阻测试，低压电缆线绝缘检测，耐压试验，高压套管及接线柱放电排查，冷却系统全面检查，预防性变压器试验、检测隔离开关，电容补偿柜，包括不可预估的所有问题，并维修相关问题，出具合格检测报告.</w:t>
      </w:r>
    </w:p>
    <w:p w14:paraId="4C8F1E47">
      <w:pPr>
        <w:pStyle w:val="9"/>
        <w:numPr>
          <w:ilvl w:val="0"/>
          <w:numId w:val="2"/>
        </w:numPr>
        <w:spacing w:line="360" w:lineRule="auto"/>
        <w:ind w:left="0" w:leftChars="0" w:firstLine="241" w:firstLineChars="100"/>
        <w:jc w:val="both"/>
        <w:outlineLvl w:val="2"/>
        <w:rPr>
          <w:rFonts w:hint="eastAsia" w:ascii="仿宋" w:hAnsi="仿宋" w:eastAsia="宋体" w:cs="仿宋"/>
          <w:b/>
          <w:i w:val="0"/>
          <w:strike w:val="0"/>
          <w:color w:val="auto"/>
          <w:kern w:val="2"/>
          <w:sz w:val="24"/>
          <w:szCs w:val="28"/>
          <w:highlight w:val="none"/>
          <w:u w:val="none"/>
          <w:lang w:val="en-US" w:eastAsia="zh-CN" w:bidi="ar-SA"/>
        </w:rPr>
      </w:pPr>
      <w:r>
        <w:rPr>
          <w:rFonts w:hint="eastAsia" w:ascii="仿宋" w:hAnsi="仿宋" w:eastAsia="宋体" w:cs="仿宋"/>
          <w:b/>
          <w:bCs/>
          <w:i w:val="0"/>
          <w:strike w:val="0"/>
          <w:color w:val="auto"/>
          <w:kern w:val="2"/>
          <w:sz w:val="24"/>
          <w:szCs w:val="28"/>
          <w:highlight w:val="none"/>
          <w:u w:val="none"/>
          <w:lang w:val="en-US" w:eastAsia="zh-CN" w:bidi="ar-SA"/>
        </w:rPr>
        <w:t>服务要求</w:t>
      </w:r>
    </w:p>
    <w:p w14:paraId="1B5C1653">
      <w:pPr>
        <w:keepNext w:val="0"/>
        <w:keepLines w:val="0"/>
        <w:widowControl/>
        <w:suppressLineNumbers w:val="0"/>
        <w:spacing w:before="0" w:beforeAutospacing="0" w:after="120" w:afterAutospacing="0" w:line="360" w:lineRule="auto"/>
        <w:ind w:left="0" w:leftChars="0" w:right="0" w:rightChars="0" w:firstLine="480" w:firstLineChars="200"/>
        <w:jc w:val="both"/>
        <w:rPr>
          <w:rFonts w:hint="default" w:asciiTheme="minorHAnsi" w:hAnsiTheme="minorHAnsi" w:eastAsiaTheme="minorEastAsia" w:cstheme="minorBidi"/>
          <w:kern w:val="2"/>
          <w:sz w:val="21"/>
          <w:szCs w:val="24"/>
          <w:highlight w:val="none"/>
          <w:lang w:val="en-US" w:eastAsia="zh-CN" w:bidi="ar-SA"/>
        </w:rPr>
      </w:pPr>
      <w:r>
        <w:rPr>
          <w:rFonts w:hint="eastAsia"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t>1</w:t>
      </w:r>
      <w:r>
        <w:rPr>
          <w:rFonts w:hint="default"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t>. 执行标准：必须严格执行中华人民共和国电力行业标准-《DL/T596—2021电力设备预防性试验规程》及国家、行业现行有效的其他相关标准、规范和技术规程。</w:t>
      </w:r>
    </w:p>
    <w:p w14:paraId="68A13AE5">
      <w:pPr>
        <w:keepNext w:val="0"/>
        <w:keepLines w:val="0"/>
        <w:widowControl/>
        <w:suppressLineNumbers w:val="0"/>
        <w:spacing w:before="0" w:beforeAutospacing="0" w:after="120" w:afterAutospacing="0" w:line="360" w:lineRule="auto"/>
        <w:ind w:right="0" w:rightChars="0" w:firstLine="480" w:firstLineChars="200"/>
        <w:jc w:val="both"/>
        <w:rPr>
          <w:rFonts w:hint="default" w:asciiTheme="minorHAnsi" w:hAnsiTheme="minorHAnsi" w:eastAsiaTheme="minorEastAsia" w:cstheme="minorBidi"/>
          <w:kern w:val="2"/>
          <w:sz w:val="21"/>
          <w:szCs w:val="24"/>
          <w:highlight w:val="none"/>
          <w:lang w:val="en-US" w:eastAsia="zh-CN" w:bidi="ar-SA"/>
        </w:rPr>
      </w:pPr>
      <w:r>
        <w:rPr>
          <w:rFonts w:hint="eastAsia"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t>2</w:t>
      </w:r>
      <w:r>
        <w:rPr>
          <w:rFonts w:hint="default"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t>. 人员要求：须充足具备特种作业操作证（电气试验作业）、高压电工证的专业技术人员，持证上岗。</w:t>
      </w:r>
    </w:p>
    <w:p w14:paraId="1CF84255">
      <w:pPr>
        <w:keepNext w:val="0"/>
        <w:keepLines w:val="0"/>
        <w:widowControl/>
        <w:suppressLineNumbers w:val="0"/>
        <w:spacing w:before="0" w:beforeAutospacing="0" w:after="120" w:afterAutospacing="0" w:line="360" w:lineRule="auto"/>
        <w:ind w:left="0" w:leftChars="0" w:right="0" w:rightChars="0" w:firstLine="480" w:firstLineChars="200"/>
        <w:jc w:val="both"/>
        <w:rPr>
          <w:rFonts w:hint="default" w:asciiTheme="minorHAnsi" w:hAnsiTheme="minorHAnsi" w:eastAsiaTheme="minorEastAsia" w:cstheme="minorBidi"/>
          <w:kern w:val="2"/>
          <w:sz w:val="21"/>
          <w:szCs w:val="24"/>
          <w:highlight w:val="none"/>
          <w:lang w:val="en-US" w:eastAsia="zh-CN" w:bidi="ar-SA"/>
        </w:rPr>
      </w:pPr>
      <w:r>
        <w:rPr>
          <w:rFonts w:hint="eastAsia"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t>3</w:t>
      </w:r>
      <w:r>
        <w:rPr>
          <w:rFonts w:hint="default"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t>. 设备要求：供应商须配备符合本项目技术要求和安全规范的试验设备、仪器及工具，确保检测工作安全、准确、高效。</w:t>
      </w:r>
    </w:p>
    <w:p w14:paraId="0304F07A">
      <w:pPr>
        <w:keepNext w:val="0"/>
        <w:keepLines w:val="0"/>
        <w:widowControl/>
        <w:suppressLineNumbers w:val="0"/>
        <w:spacing w:before="0" w:beforeAutospacing="0" w:after="120" w:afterAutospacing="0" w:line="360" w:lineRule="auto"/>
        <w:ind w:left="0" w:leftChars="0" w:right="0" w:rightChars="0" w:firstLine="480" w:firstLineChars="200"/>
        <w:jc w:val="both"/>
        <w:rPr>
          <w:rFonts w:hint="default"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pPr>
      <w:r>
        <w:rPr>
          <w:rFonts w:hint="eastAsia"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t>4</w:t>
      </w:r>
      <w:r>
        <w:rPr>
          <w:rFonts w:hint="default"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t>. 安全要求：严格遵守医院院内各项安全管理制度，作业前进行安全技术交底，落实安全防护措施，确保作业人员及医院财产安全，如发生安全责任事故，由供应商承担全部责任及相关费用。</w:t>
      </w:r>
    </w:p>
    <w:p w14:paraId="6C10BE05">
      <w:pPr>
        <w:keepNext w:val="0"/>
        <w:keepLines w:val="0"/>
        <w:widowControl/>
        <w:suppressLineNumbers w:val="0"/>
        <w:spacing w:before="0" w:beforeAutospacing="0" w:after="120" w:afterAutospacing="0" w:line="360" w:lineRule="auto"/>
        <w:ind w:left="0" w:leftChars="0" w:right="0" w:rightChars="0" w:firstLine="480" w:firstLineChars="200"/>
        <w:jc w:val="both"/>
        <w:rPr>
          <w:rFonts w:hint="default"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pPr>
      <w:r>
        <w:rPr>
          <w:rFonts w:hint="eastAsia"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t>5.完成检测项目并向医院移交完整、规范的试验检测报告。</w:t>
      </w:r>
    </w:p>
    <w:p w14:paraId="4BF03703">
      <w:pPr>
        <w:spacing w:line="360" w:lineRule="auto"/>
        <w:jc w:val="both"/>
        <w:rPr>
          <w:rFonts w:hint="eastAsia" w:ascii="宋体" w:hAnsi="宋体" w:eastAsia="宋体" w:cs="Times New Roman"/>
          <w:b/>
          <w:bCs/>
          <w:i w:val="0"/>
          <w:strike w:val="0"/>
          <w:color w:val="auto"/>
          <w:kern w:val="2"/>
          <w:sz w:val="24"/>
          <w:szCs w:val="28"/>
          <w:highlight w:val="none"/>
          <w:u w:val="none"/>
          <w:lang w:val="en-US" w:eastAsia="zh-CN" w:bidi="ar-SA"/>
        </w:rPr>
      </w:pPr>
      <w:r>
        <w:rPr>
          <w:rFonts w:hint="eastAsia" w:ascii="宋体" w:hAnsi="宋体" w:eastAsia="宋体" w:cs="Arial"/>
          <w:b/>
          <w:bCs/>
          <w:i w:val="0"/>
          <w:strike w:val="0"/>
          <w:color w:val="auto"/>
          <w:kern w:val="2"/>
          <w:sz w:val="24"/>
          <w:szCs w:val="28"/>
          <w:highlight w:val="none"/>
          <w:u w:val="none"/>
          <w:lang w:val="en-US" w:eastAsia="zh-CN" w:bidi="ar-SA"/>
        </w:rPr>
        <w:t>★（二）</w:t>
      </w:r>
      <w:r>
        <w:rPr>
          <w:rFonts w:hint="eastAsia" w:ascii="宋体" w:hAnsi="宋体" w:eastAsia="宋体" w:cs="Times New Roman"/>
          <w:b/>
          <w:bCs/>
          <w:i w:val="0"/>
          <w:strike w:val="0"/>
          <w:color w:val="auto"/>
          <w:kern w:val="2"/>
          <w:sz w:val="24"/>
          <w:szCs w:val="28"/>
          <w:highlight w:val="none"/>
          <w:u w:val="none"/>
          <w:lang w:val="en-US" w:eastAsia="zh-CN" w:bidi="ar-SA"/>
        </w:rPr>
        <w:t xml:space="preserve"> 服务要求</w:t>
      </w:r>
    </w:p>
    <w:p w14:paraId="1C9E82E7">
      <w:pPr>
        <w:keepNext w:val="0"/>
        <w:keepLines w:val="0"/>
        <w:widowControl/>
        <w:suppressLineNumbers w:val="0"/>
        <w:spacing w:before="0" w:beforeAutospacing="0" w:after="120" w:afterAutospacing="0" w:line="360" w:lineRule="auto"/>
        <w:ind w:left="0" w:leftChars="0" w:right="0" w:rightChars="0" w:firstLine="480" w:firstLineChars="200"/>
        <w:jc w:val="both"/>
        <w:rPr>
          <w:rFonts w:hint="eastAsia"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pPr>
      <w:r>
        <w:rPr>
          <w:rFonts w:hint="eastAsia"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t>1.履约地点：宜宾市第五人民医院。</w:t>
      </w:r>
    </w:p>
    <w:p w14:paraId="0197843A">
      <w:pPr>
        <w:keepNext w:val="0"/>
        <w:keepLines w:val="0"/>
        <w:widowControl/>
        <w:suppressLineNumbers w:val="0"/>
        <w:spacing w:before="0" w:beforeAutospacing="0" w:after="120" w:afterAutospacing="0" w:line="360" w:lineRule="auto"/>
        <w:ind w:left="0" w:leftChars="0" w:right="0" w:rightChars="0" w:firstLine="480" w:firstLineChars="200"/>
        <w:jc w:val="both"/>
        <w:rPr>
          <w:rFonts w:hint="eastAsia"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pPr>
      <w:r>
        <w:rPr>
          <w:rFonts w:hint="eastAsia"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t>2.服务工期：合同签订后1个工作日内完成全部现场试验、检测、隐患排查工作，现场维修，特殊情况需延期的，处理时间不能超过24小时，并提前书面报备医院并征得同意。</w:t>
      </w:r>
    </w:p>
    <w:p w14:paraId="4F75A221">
      <w:pPr>
        <w:keepNext w:val="0"/>
        <w:keepLines w:val="0"/>
        <w:widowControl/>
        <w:suppressLineNumbers w:val="0"/>
        <w:spacing w:before="0" w:beforeAutospacing="0" w:after="120" w:afterAutospacing="0" w:line="360" w:lineRule="auto"/>
        <w:ind w:left="0" w:leftChars="0" w:right="0" w:rightChars="0" w:firstLine="480" w:firstLineChars="200"/>
        <w:jc w:val="both"/>
        <w:rPr>
          <w:rFonts w:hint="eastAsia" w:ascii="方正仿宋_GB2312" w:hAnsi="方正仿宋_GB2312" w:eastAsia="宋体" w:cs="方正仿宋_GB2312"/>
          <w:b w:val="0"/>
          <w:i w:val="0"/>
          <w:iCs w:val="0"/>
          <w:caps w:val="0"/>
          <w:strike w:val="0"/>
          <w:color w:val="auto"/>
          <w:spacing w:val="0"/>
          <w:kern w:val="0"/>
          <w:sz w:val="24"/>
          <w:szCs w:val="32"/>
          <w:highlight w:val="none"/>
          <w:u w:val="single"/>
          <w:lang w:val="en-US" w:eastAsia="zh-CN" w:bidi="ar"/>
        </w:rPr>
      </w:pPr>
      <w:r>
        <w:rPr>
          <w:rFonts w:hint="eastAsia"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t>3.付款方式：全部试验完成并提交合格报告、经院方审核验收通过后，甲方接到乙方通知与票据凭证资料后的 30日内，向乙方支付合同总价的100%。（成交供应商须向采购人出具合法有效完整的普通税发票及凭证资料进行支付结算）。</w:t>
      </w:r>
    </w:p>
    <w:p w14:paraId="1EC2B405">
      <w:pPr>
        <w:keepNext w:val="0"/>
        <w:keepLines w:val="0"/>
        <w:widowControl/>
        <w:suppressLineNumbers w:val="0"/>
        <w:ind w:firstLine="480" w:firstLineChars="200"/>
        <w:jc w:val="left"/>
        <w:rPr>
          <w:rFonts w:hint="eastAsia"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pPr>
      <w:r>
        <w:rPr>
          <w:rFonts w:hint="eastAsia"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t>4.验收标准</w:t>
      </w:r>
    </w:p>
    <w:p w14:paraId="627EC53D">
      <w:pPr>
        <w:keepNext w:val="0"/>
        <w:keepLines w:val="0"/>
        <w:widowControl/>
        <w:suppressLineNumbers w:val="0"/>
        <w:ind w:firstLine="480" w:firstLineChars="200"/>
        <w:jc w:val="left"/>
        <w:rPr>
          <w:rFonts w:hint="eastAsia"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pPr>
      <w:r>
        <w:rPr>
          <w:rFonts w:hint="eastAsia"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t>4.1所有试验项目全覆盖、无遗漏，严格遵照国家及行业规范执行，操作流程合规。</w:t>
      </w:r>
    </w:p>
    <w:p w14:paraId="104948EB">
      <w:pPr>
        <w:keepNext w:val="0"/>
        <w:keepLines w:val="0"/>
        <w:widowControl/>
        <w:suppressLineNumbers w:val="0"/>
        <w:ind w:firstLine="480" w:firstLineChars="200"/>
        <w:jc w:val="left"/>
        <w:rPr>
          <w:rFonts w:hint="eastAsia"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pPr>
      <w:r>
        <w:rPr>
          <w:rFonts w:hint="eastAsia"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t>4.2试验数据真实、完整、精准，无缺失、无造假，设备各项参数达标。</w:t>
      </w:r>
    </w:p>
    <w:p w14:paraId="19487A71">
      <w:pPr>
        <w:keepNext w:val="0"/>
        <w:keepLines w:val="0"/>
        <w:widowControl/>
        <w:suppressLineNumbers w:val="0"/>
        <w:ind w:firstLine="480" w:firstLineChars="200"/>
        <w:jc w:val="left"/>
        <w:rPr>
          <w:rFonts w:hint="default"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pPr>
      <w:r>
        <w:rPr>
          <w:rFonts w:hint="eastAsia"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t>4.3现场隐患全部整改闭环，设备运行状态、保护性能符合医疗场所供电安全要求。</w:t>
      </w:r>
    </w:p>
    <w:p w14:paraId="0AB60325">
      <w:pPr>
        <w:keepNext w:val="0"/>
        <w:keepLines w:val="0"/>
        <w:widowControl/>
        <w:suppressLineNumbers w:val="0"/>
        <w:ind w:firstLine="480" w:firstLineChars="200"/>
        <w:jc w:val="left"/>
        <w:rPr>
          <w:rFonts w:hint="eastAsia"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pPr>
      <w:r>
        <w:rPr>
          <w:rFonts w:hint="eastAsia"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t>4.4交付资料齐全、规范，可顺利通过医院验收及供电部门核查、备案。</w:t>
      </w:r>
    </w:p>
    <w:p w14:paraId="6AF71927">
      <w:pPr>
        <w:keepNext w:val="0"/>
        <w:keepLines w:val="0"/>
        <w:widowControl/>
        <w:suppressLineNumbers w:val="0"/>
        <w:ind w:firstLine="480" w:firstLineChars="200"/>
        <w:jc w:val="left"/>
        <w:rPr>
          <w:rFonts w:hint="default"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pPr>
      <w:r>
        <w:rPr>
          <w:rFonts w:hint="eastAsia"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t>4.5</w:t>
      </w:r>
      <w:r>
        <w:rPr>
          <w:rFonts w:hint="default"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t>恢复供电后，设</w:t>
      </w:r>
      <w:bookmarkStart w:id="1" w:name="_GoBack"/>
      <w:bookmarkEnd w:id="1"/>
      <w:r>
        <w:rPr>
          <w:rFonts w:hint="default"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t>备运行无异常声音、异味，各运行参数正常</w:t>
      </w:r>
      <w:r>
        <w:rPr>
          <w:rFonts w:hint="eastAsia"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t>。</w:t>
      </w:r>
    </w:p>
    <w:p w14:paraId="0144A8AE">
      <w:pPr>
        <w:pStyle w:val="5"/>
        <w:spacing w:after="120" w:line="360" w:lineRule="auto"/>
        <w:ind w:firstLine="480" w:firstLineChars="200"/>
        <w:jc w:val="both"/>
        <w:rPr>
          <w:rFonts w:hint="eastAsia"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pPr>
      <w:r>
        <w:rPr>
          <w:rFonts w:hint="eastAsia"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t>5.其他未尽事宜，由采购人单位与成交供应商另行协商解决，在合同中约定。</w:t>
      </w:r>
    </w:p>
    <w:p w14:paraId="39761985">
      <w:pPr>
        <w:pStyle w:val="5"/>
        <w:spacing w:after="120" w:line="360" w:lineRule="auto"/>
        <w:ind w:firstLine="480" w:firstLineChars="200"/>
        <w:jc w:val="both"/>
        <w:rPr>
          <w:rFonts w:hint="eastAsia"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pPr>
      <w:r>
        <w:rPr>
          <w:rFonts w:hint="eastAsia" w:ascii="方正仿宋_GB2312" w:hAnsi="方正仿宋_GB2312" w:eastAsia="宋体" w:cs="方正仿宋_GB2312"/>
          <w:b w:val="0"/>
          <w:i w:val="0"/>
          <w:iCs w:val="0"/>
          <w:caps w:val="0"/>
          <w:strike w:val="0"/>
          <w:color w:val="auto"/>
          <w:spacing w:val="0"/>
          <w:kern w:val="0"/>
          <w:sz w:val="24"/>
          <w:szCs w:val="32"/>
          <w:highlight w:val="none"/>
          <w:u w:val="none"/>
          <w:lang w:val="en-US" w:eastAsia="zh-CN" w:bidi="ar"/>
        </w:rPr>
        <w:t>6、违约责任与解决争议的方法</w:t>
      </w:r>
    </w:p>
    <w:p w14:paraId="08A62151">
      <w:pPr>
        <w:pStyle w:val="5"/>
        <w:spacing w:after="120" w:line="360" w:lineRule="auto"/>
        <w:ind w:firstLine="480" w:firstLineChars="200"/>
        <w:jc w:val="both"/>
        <w:rPr>
          <w:rFonts w:hint="eastAsia" w:ascii="仿宋" w:hAnsi="仿宋" w:eastAsia="宋体" w:cs="仿宋"/>
          <w:b w:val="0"/>
          <w:i w:val="0"/>
          <w:strike w:val="0"/>
          <w:color w:val="auto"/>
          <w:kern w:val="2"/>
          <w:sz w:val="24"/>
          <w:szCs w:val="28"/>
          <w:highlight w:val="none"/>
          <w:u w:val="none"/>
          <w:lang w:val="en-US" w:eastAsia="zh-CN" w:bidi="ar-SA"/>
        </w:rPr>
      </w:pPr>
      <w:r>
        <w:rPr>
          <w:rFonts w:hint="eastAsia" w:ascii="仿宋" w:hAnsi="仿宋" w:eastAsia="宋体" w:cs="仿宋"/>
          <w:b w:val="0"/>
          <w:i w:val="0"/>
          <w:strike w:val="0"/>
          <w:color w:val="auto"/>
          <w:kern w:val="2"/>
          <w:sz w:val="24"/>
          <w:szCs w:val="28"/>
          <w:highlight w:val="none"/>
          <w:u w:val="none"/>
          <w:lang w:val="en-US" w:eastAsia="zh-CN" w:bidi="ar-SA"/>
        </w:rPr>
        <w:t>（1）采购人违约责任：</w:t>
      </w:r>
    </w:p>
    <w:p w14:paraId="0F3B83D7">
      <w:pPr>
        <w:pStyle w:val="5"/>
        <w:spacing w:after="120" w:line="360" w:lineRule="auto"/>
        <w:ind w:firstLine="480" w:firstLineChars="200"/>
        <w:jc w:val="both"/>
        <w:rPr>
          <w:rFonts w:hint="eastAsia" w:ascii="仿宋" w:hAnsi="仿宋" w:eastAsia="宋体" w:cs="仿宋"/>
          <w:b w:val="0"/>
          <w:i w:val="0"/>
          <w:strike w:val="0"/>
          <w:color w:val="auto"/>
          <w:kern w:val="2"/>
          <w:sz w:val="24"/>
          <w:szCs w:val="28"/>
          <w:highlight w:val="none"/>
          <w:u w:val="none"/>
          <w:lang w:val="en-US" w:eastAsia="zh-CN" w:bidi="ar-SA"/>
        </w:rPr>
      </w:pPr>
      <w:r>
        <w:rPr>
          <w:rFonts w:hint="eastAsia" w:ascii="仿宋" w:hAnsi="仿宋" w:eastAsia="宋体" w:cs="仿宋"/>
          <w:b w:val="0"/>
          <w:i w:val="0"/>
          <w:strike w:val="0"/>
          <w:color w:val="auto"/>
          <w:kern w:val="2"/>
          <w:sz w:val="24"/>
          <w:szCs w:val="28"/>
          <w:highlight w:val="none"/>
          <w:u w:val="none"/>
          <w:lang w:val="en-US" w:eastAsia="zh-CN" w:bidi="ar-SA"/>
        </w:rPr>
        <w:t>1.1.采购人逾期支付货款的，除应及时付足货款外，应向成交供应商偿付欠款总额万分之一/天的违约金；逾期付款超过90天的，成交供应商有权终止合同。</w:t>
      </w:r>
    </w:p>
    <w:p w14:paraId="52AA3AC5">
      <w:pPr>
        <w:pStyle w:val="5"/>
        <w:spacing w:after="120" w:line="360" w:lineRule="auto"/>
        <w:ind w:firstLine="480" w:firstLineChars="200"/>
        <w:jc w:val="both"/>
        <w:rPr>
          <w:rFonts w:hint="eastAsia" w:ascii="仿宋" w:hAnsi="仿宋" w:eastAsia="宋体" w:cs="仿宋"/>
          <w:b w:val="0"/>
          <w:i w:val="0"/>
          <w:strike w:val="0"/>
          <w:color w:val="auto"/>
          <w:kern w:val="2"/>
          <w:sz w:val="24"/>
          <w:szCs w:val="28"/>
          <w:highlight w:val="none"/>
          <w:u w:val="none"/>
          <w:lang w:val="en-US" w:eastAsia="zh-CN" w:bidi="ar-SA"/>
        </w:rPr>
      </w:pPr>
      <w:r>
        <w:rPr>
          <w:rFonts w:hint="eastAsia" w:ascii="仿宋" w:hAnsi="仿宋" w:eastAsia="宋体" w:cs="仿宋"/>
          <w:b w:val="0"/>
          <w:i w:val="0"/>
          <w:strike w:val="0"/>
          <w:color w:val="auto"/>
          <w:kern w:val="2"/>
          <w:sz w:val="24"/>
          <w:szCs w:val="28"/>
          <w:highlight w:val="none"/>
          <w:u w:val="none"/>
          <w:lang w:val="en-US" w:eastAsia="zh-CN" w:bidi="ar-SA"/>
        </w:rPr>
        <w:t>（2）成交供应商违约责任</w:t>
      </w:r>
    </w:p>
    <w:p w14:paraId="2610596B">
      <w:pPr>
        <w:pStyle w:val="5"/>
        <w:spacing w:after="120" w:line="360" w:lineRule="auto"/>
        <w:ind w:firstLine="480" w:firstLineChars="200"/>
        <w:jc w:val="both"/>
        <w:rPr>
          <w:rFonts w:hint="eastAsia" w:ascii="仿宋" w:hAnsi="仿宋" w:eastAsia="宋体" w:cs="仿宋"/>
          <w:b w:val="0"/>
          <w:i w:val="0"/>
          <w:strike w:val="0"/>
          <w:color w:val="auto"/>
          <w:kern w:val="2"/>
          <w:sz w:val="24"/>
          <w:szCs w:val="28"/>
          <w:highlight w:val="none"/>
          <w:u w:val="none"/>
          <w:lang w:val="en-US" w:eastAsia="zh-CN" w:bidi="ar-SA"/>
        </w:rPr>
      </w:pPr>
      <w:r>
        <w:rPr>
          <w:rFonts w:hint="eastAsia" w:ascii="仿宋" w:hAnsi="仿宋" w:eastAsia="宋体" w:cs="仿宋"/>
          <w:b w:val="0"/>
          <w:i w:val="0"/>
          <w:strike w:val="0"/>
          <w:color w:val="auto"/>
          <w:kern w:val="2"/>
          <w:sz w:val="24"/>
          <w:szCs w:val="28"/>
          <w:highlight w:val="none"/>
          <w:u w:val="none"/>
          <w:lang w:val="en-US" w:eastAsia="zh-CN" w:bidi="ar-SA"/>
        </w:rPr>
        <w:t xml:space="preserve">2.1.成交供应商交付的检验检测报告不符合合同规定的，成交供应商应向采购人支付合同总价的百分之五的违约金，并须在合同规定的交货时间内更换合格的检验检测报告给采购人，否则，视作成交供应商不能交付货物而违约，按本条本款下述第“2.2”项规定由成交供应商偿付违约金给采购人。 </w:t>
      </w:r>
    </w:p>
    <w:p w14:paraId="7AACF5FE">
      <w:pPr>
        <w:pStyle w:val="5"/>
        <w:spacing w:after="120" w:line="360" w:lineRule="auto"/>
        <w:ind w:firstLine="480" w:firstLineChars="200"/>
        <w:jc w:val="both"/>
        <w:rPr>
          <w:rFonts w:hint="eastAsia" w:ascii="仿宋" w:hAnsi="仿宋" w:eastAsia="宋体" w:cs="仿宋"/>
          <w:b w:val="0"/>
          <w:i w:val="0"/>
          <w:strike w:val="0"/>
          <w:color w:val="auto"/>
          <w:kern w:val="2"/>
          <w:sz w:val="24"/>
          <w:szCs w:val="28"/>
          <w:highlight w:val="none"/>
          <w:u w:val="none"/>
          <w:lang w:val="en-US" w:eastAsia="zh-CN" w:bidi="ar-SA"/>
        </w:rPr>
      </w:pPr>
      <w:r>
        <w:rPr>
          <w:rFonts w:hint="eastAsia" w:ascii="仿宋" w:hAnsi="仿宋" w:eastAsia="宋体" w:cs="仿宋"/>
          <w:b w:val="0"/>
          <w:i w:val="0"/>
          <w:strike w:val="0"/>
          <w:color w:val="auto"/>
          <w:kern w:val="2"/>
          <w:sz w:val="24"/>
          <w:szCs w:val="28"/>
          <w:highlight w:val="none"/>
          <w:u w:val="none"/>
          <w:lang w:val="en-US" w:eastAsia="zh-CN" w:bidi="ar-SA"/>
        </w:rPr>
        <w:t xml:space="preserve">2.2.成交供应商不能交付检验检测报告或逾期交付检验检测报告而违约的，除应及时交付检验检测报告外，应向采购人偿付逾期交货部分货款总额的万分之一/天的违约金；逾期交付超过30天，采购人有权终止合同，成交供应商则应按合同总价的百分之十的款额向采购人偿付违约金，并须全额退还采购人已经付给乙方的货款及其利息。 </w:t>
      </w:r>
    </w:p>
    <w:p w14:paraId="5F27C225">
      <w:pPr>
        <w:pStyle w:val="5"/>
        <w:spacing w:after="120" w:line="360" w:lineRule="auto"/>
        <w:ind w:leftChars="0" w:firstLine="480" w:firstLineChars="200"/>
        <w:jc w:val="both"/>
        <w:rPr>
          <w:rFonts w:hint="eastAsia" w:ascii="仿宋" w:hAnsi="仿宋" w:eastAsia="宋体" w:cs="仿宋"/>
          <w:b w:val="0"/>
          <w:i w:val="0"/>
          <w:strike w:val="0"/>
          <w:color w:val="auto"/>
          <w:kern w:val="2"/>
          <w:sz w:val="24"/>
          <w:szCs w:val="28"/>
          <w:highlight w:val="none"/>
          <w:u w:val="none"/>
          <w:lang w:val="en-US" w:eastAsia="zh-CN" w:bidi="ar-SA"/>
        </w:rPr>
      </w:pPr>
      <w:r>
        <w:rPr>
          <w:rFonts w:hint="eastAsia" w:ascii="仿宋" w:hAnsi="仿宋" w:eastAsia="宋体" w:cs="仿宋"/>
          <w:b w:val="0"/>
          <w:i w:val="0"/>
          <w:strike w:val="0"/>
          <w:color w:val="auto"/>
          <w:kern w:val="2"/>
          <w:sz w:val="24"/>
          <w:szCs w:val="28"/>
          <w:highlight w:val="none"/>
          <w:u w:val="none"/>
          <w:lang w:val="en-US" w:eastAsia="zh-CN" w:bidi="ar-SA"/>
        </w:rPr>
        <w:t xml:space="preserve">2.3.成交供应商保证本合同货物的权利无瑕疵，包括货物所有权及知识产权等权利无瑕疵。如任何第三方经法院（或仲裁机构）裁决有权对上述货物主张权利或国家机关依法对货物进行没收查处的，成交供应商除应向采购人返还已收款项外，还应另按合同总价的百分之十向采购人支付违约金。 </w:t>
      </w:r>
    </w:p>
    <w:p w14:paraId="331E7642">
      <w:pPr>
        <w:pStyle w:val="5"/>
        <w:spacing w:after="120" w:line="360" w:lineRule="auto"/>
        <w:ind w:leftChars="0" w:firstLine="480" w:firstLineChars="200"/>
        <w:jc w:val="both"/>
        <w:rPr>
          <w:rFonts w:hint="eastAsia" w:ascii="仿宋" w:hAnsi="仿宋" w:eastAsia="宋体" w:cs="仿宋"/>
          <w:b w:val="0"/>
          <w:i w:val="0"/>
          <w:strike w:val="0"/>
          <w:color w:val="auto"/>
          <w:kern w:val="2"/>
          <w:sz w:val="24"/>
          <w:szCs w:val="28"/>
          <w:highlight w:val="none"/>
          <w:u w:val="none"/>
          <w:lang w:val="en-US" w:eastAsia="zh-CN" w:bidi="ar-SA"/>
        </w:rPr>
      </w:pPr>
      <w:r>
        <w:rPr>
          <w:rFonts w:hint="eastAsia" w:ascii="仿宋" w:hAnsi="仿宋" w:eastAsia="宋体" w:cs="仿宋"/>
          <w:b w:val="0"/>
          <w:i w:val="0"/>
          <w:strike w:val="0"/>
          <w:color w:val="auto"/>
          <w:kern w:val="2"/>
          <w:sz w:val="24"/>
          <w:szCs w:val="28"/>
          <w:highlight w:val="none"/>
          <w:u w:val="none"/>
          <w:lang w:val="en-US" w:eastAsia="zh-CN" w:bidi="ar-SA"/>
        </w:rPr>
        <w:t xml:space="preserve">2.4.成交供应商偿付的违约金不足以弥补采购人损失的，还应按采购人损失尚未弥补的部分，支付给采购人。 </w:t>
      </w:r>
    </w:p>
    <w:p w14:paraId="03BBE214">
      <w:pPr>
        <w:pStyle w:val="5"/>
        <w:spacing w:after="120" w:line="360" w:lineRule="auto"/>
        <w:ind w:leftChars="0" w:firstLine="480" w:firstLineChars="200"/>
        <w:jc w:val="both"/>
        <w:rPr>
          <w:rFonts w:hint="eastAsia" w:ascii="仿宋" w:hAnsi="仿宋" w:eastAsia="宋体" w:cs="仿宋"/>
          <w:b w:val="0"/>
          <w:i w:val="0"/>
          <w:strike w:val="0"/>
          <w:color w:val="auto"/>
          <w:kern w:val="2"/>
          <w:sz w:val="24"/>
          <w:szCs w:val="28"/>
          <w:highlight w:val="none"/>
          <w:u w:val="none"/>
          <w:lang w:val="en-US" w:eastAsia="zh-CN" w:bidi="ar-SA"/>
        </w:rPr>
      </w:pPr>
      <w:r>
        <w:rPr>
          <w:rFonts w:hint="eastAsia" w:ascii="仿宋" w:hAnsi="仿宋" w:eastAsia="宋体" w:cs="仿宋"/>
          <w:b w:val="0"/>
          <w:i w:val="0"/>
          <w:strike w:val="0"/>
          <w:color w:val="auto"/>
          <w:kern w:val="2"/>
          <w:sz w:val="24"/>
          <w:szCs w:val="28"/>
          <w:highlight w:val="none"/>
          <w:u w:val="none"/>
          <w:lang w:val="en-US" w:eastAsia="zh-CN" w:bidi="ar-SA"/>
        </w:rPr>
        <w:t>2.5.如因成交供应商工作人员在履行职务过程中的疏忽、失职、过错等故意或者过失原因给采购人造成损失或侵害，包括但不限于采购人本身的财产损失、由此而导致的采购人对任何第三方的法律责任等，成交供应商对此均应承担全部的赔偿责任。</w:t>
      </w:r>
    </w:p>
    <w:p w14:paraId="5ECFA18D">
      <w:pPr>
        <w:pStyle w:val="5"/>
        <w:spacing w:after="120" w:line="360" w:lineRule="auto"/>
        <w:ind w:leftChars="0" w:firstLine="480" w:firstLineChars="200"/>
        <w:jc w:val="both"/>
        <w:rPr>
          <w:rFonts w:hint="eastAsia" w:ascii="仿宋" w:hAnsi="仿宋" w:eastAsia="宋体" w:cs="仿宋"/>
          <w:b w:val="0"/>
          <w:i w:val="0"/>
          <w:strike w:val="0"/>
          <w:color w:val="auto"/>
          <w:kern w:val="2"/>
          <w:sz w:val="24"/>
          <w:szCs w:val="28"/>
          <w:highlight w:val="none"/>
          <w:u w:val="none"/>
          <w:lang w:val="en-US" w:eastAsia="zh-CN" w:bidi="ar-SA"/>
        </w:rPr>
      </w:pPr>
      <w:r>
        <w:rPr>
          <w:rFonts w:hint="eastAsia" w:ascii="仿宋" w:hAnsi="仿宋" w:eastAsia="宋体" w:cs="仿宋"/>
          <w:b w:val="0"/>
          <w:i w:val="0"/>
          <w:strike w:val="0"/>
          <w:color w:val="auto"/>
          <w:kern w:val="2"/>
          <w:sz w:val="24"/>
          <w:szCs w:val="28"/>
          <w:highlight w:val="none"/>
          <w:u w:val="none"/>
          <w:lang w:val="en-US" w:eastAsia="zh-CN" w:bidi="ar-SA"/>
        </w:rPr>
        <w:t>2.6合同履行期间，若双方发生争议，可协商或由有关部门调解解决，协商或调解不成的，向采购人所在地人民法院起诉。</w:t>
      </w:r>
    </w:p>
    <w:p w14:paraId="537DF769">
      <w:pPr>
        <w:keepNext/>
        <w:keepLines/>
        <w:spacing w:after="120" w:line="360" w:lineRule="auto"/>
        <w:ind w:left="0" w:leftChars="0" w:firstLine="480" w:firstLineChars="200"/>
        <w:jc w:val="both"/>
        <w:rPr>
          <w:rFonts w:hint="eastAsia" w:ascii="仿宋" w:hAnsi="仿宋" w:eastAsia="宋体" w:cs="仿宋"/>
          <w:b w:val="0"/>
          <w:bCs/>
          <w:i w:val="0"/>
          <w:strike w:val="0"/>
          <w:color w:val="auto"/>
          <w:sz w:val="24"/>
          <w:szCs w:val="28"/>
          <w:highlight w:val="none"/>
          <w:u w:val="none"/>
        </w:rPr>
      </w:pPr>
      <w:r>
        <w:rPr>
          <w:rFonts w:hint="eastAsia" w:ascii="仿宋" w:hAnsi="仿宋" w:eastAsia="宋体" w:cs="仿宋"/>
          <w:b w:val="0"/>
          <w:bCs/>
          <w:i w:val="0"/>
          <w:strike w:val="0"/>
          <w:color w:val="auto"/>
          <w:sz w:val="24"/>
          <w:szCs w:val="28"/>
          <w:highlight w:val="none"/>
          <w:u w:val="none"/>
        </w:rPr>
        <w:t>注：本章采购需求中标注“★”号的条款为本次采购项目的实质性要求，供应商应全部满足。</w:t>
      </w:r>
    </w:p>
    <w:p w14:paraId="053C049F">
      <w:pPr>
        <w:rPr>
          <w:b/>
          <w:bCs/>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KSOFE885277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D8E0A"/>
    <w:multiLevelType w:val="multilevel"/>
    <w:tmpl w:val="B04D8E0A"/>
    <w:lvl w:ilvl="0" w:tentative="0">
      <w:start w:val="1"/>
      <w:numFmt w:val="chineseCounting"/>
      <w:suff w:val="nothing"/>
      <w:lvlText w:val="第%1章 "/>
      <w:lvlJc w:val="left"/>
      <w:pPr>
        <w:tabs>
          <w:tab w:val="left" w:pos="0"/>
        </w:tabs>
        <w:ind w:left="0" w:firstLine="0"/>
      </w:pPr>
      <w:rPr>
        <w:rFonts w:hint="eastAsia" w:ascii="宋体" w:hAnsi="宋体" w:eastAsia="宋体" w:cs="宋体"/>
      </w:rPr>
    </w:lvl>
    <w:lvl w:ilvl="1" w:tentative="0">
      <w:start w:val="1"/>
      <w:numFmt w:val="chineseCounting"/>
      <w:pStyle w:val="9"/>
      <w:suff w:val="nothing"/>
      <w:lvlText w:val="%2、"/>
      <w:lvlJc w:val="left"/>
      <w:pPr>
        <w:ind w:left="0" w:firstLine="0"/>
      </w:pPr>
      <w:rPr>
        <w:rFonts w:hint="eastAsia" w:ascii="宋体" w:hAnsi="宋体" w:eastAsia="宋体" w:cs="宋体"/>
      </w:rPr>
    </w:lvl>
    <w:lvl w:ilvl="2" w:tentative="0">
      <w:start w:val="1"/>
      <w:numFmt w:val="chineseCounting"/>
      <w:suff w:val="nothing"/>
      <w:lvlText w:val="(%3)"/>
      <w:lvlJc w:val="left"/>
      <w:pPr>
        <w:tabs>
          <w:tab w:val="left" w:pos="0"/>
        </w:tabs>
        <w:ind w:left="0" w:firstLine="0"/>
      </w:pPr>
      <w:rPr>
        <w:rFonts w:hint="eastAsia" w:ascii="宋体" w:hAnsi="宋体" w:eastAsia="宋体" w:cs="宋体"/>
      </w:rPr>
    </w:lvl>
    <w:lvl w:ilvl="3" w:tentative="0">
      <w:start w:val="1"/>
      <w:numFmt w:val="decimal"/>
      <w:suff w:val="nothing"/>
      <w:lvlText w:val="%4."/>
      <w:lvlJc w:val="left"/>
      <w:pPr>
        <w:tabs>
          <w:tab w:val="left" w:pos="0"/>
        </w:tabs>
        <w:ind w:left="0" w:firstLine="0"/>
      </w:pPr>
      <w:rPr>
        <w:rFonts w:hint="eastAsia" w:ascii="宋体" w:hAnsi="宋体" w:eastAsia="宋体" w:cs="宋体"/>
      </w:rPr>
    </w:lvl>
    <w:lvl w:ilvl="4" w:tentative="0">
      <w:start w:val="1"/>
      <w:numFmt w:val="decimal"/>
      <w:suff w:val="nothing"/>
      <w:lvlText w:val="%4.%5"/>
      <w:lvlJc w:val="left"/>
      <w:pPr>
        <w:ind w:left="0" w:firstLine="0"/>
      </w:pPr>
      <w:rPr>
        <w:rFonts w:hint="eastAsia" w:ascii="宋体" w:hAnsi="宋体" w:eastAsia="宋体" w:cs="宋体"/>
      </w:rPr>
    </w:lvl>
    <w:lvl w:ilvl="5" w:tentative="0">
      <w:start w:val="1"/>
      <w:numFmt w:val="decimal"/>
      <w:suff w:val="nothing"/>
      <w:lvlText w:val="(%6)"/>
      <w:lvlJc w:val="left"/>
      <w:pPr>
        <w:ind w:left="0" w:firstLine="0"/>
      </w:pPr>
      <w:rPr>
        <w:rFonts w:hint="eastAsia"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36F2D2BC"/>
    <w:multiLevelType w:val="singleLevel"/>
    <w:tmpl w:val="36F2D2BC"/>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E41D4E"/>
    <w:rsid w:val="04DD1182"/>
    <w:rsid w:val="0B4E4CEF"/>
    <w:rsid w:val="12E74EDC"/>
    <w:rsid w:val="14487C01"/>
    <w:rsid w:val="246C71FF"/>
    <w:rsid w:val="2CE90909"/>
    <w:rsid w:val="359E5BFF"/>
    <w:rsid w:val="38CE7B47"/>
    <w:rsid w:val="3BC42B34"/>
    <w:rsid w:val="4321209E"/>
    <w:rsid w:val="435B46F3"/>
    <w:rsid w:val="445D5F4C"/>
    <w:rsid w:val="47A651C2"/>
    <w:rsid w:val="51F157A9"/>
    <w:rsid w:val="6681781A"/>
    <w:rsid w:val="66F677E1"/>
    <w:rsid w:val="7CE9417B"/>
    <w:rsid w:val="7E885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annotation text"/>
    <w:basedOn w:val="1"/>
    <w:uiPriority w:val="0"/>
    <w:pPr>
      <w:jc w:val="left"/>
    </w:pPr>
  </w:style>
  <w:style w:type="paragraph" w:styleId="5">
    <w:name w:val="Body Text"/>
    <w:basedOn w:val="1"/>
    <w:qFormat/>
    <w:uiPriority w:val="0"/>
    <w:pPr>
      <w:spacing w:after="120"/>
    </w:pPr>
    <w:rPr>
      <w:rFonts w:ascii="Calibri"/>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15、“一、”二级标题"/>
    <w:basedOn w:val="1"/>
    <w:autoRedefine/>
    <w:qFormat/>
    <w:uiPriority w:val="0"/>
    <w:pPr>
      <w:numPr>
        <w:ilvl w:val="1"/>
        <w:numId w:val="1"/>
      </w:numPr>
      <w:tabs>
        <w:tab w:val="left" w:pos="0"/>
      </w:tabs>
      <w:wordWrap w:val="0"/>
      <w:topLinePunct/>
      <w:ind w:firstLine="803" w:firstLineChars="200"/>
      <w:outlineLvl w:val="1"/>
    </w:pPr>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938</Words>
  <Characters>985</Characters>
  <Lines>0</Lines>
  <Paragraphs>0</Paragraphs>
  <TotalTime>9</TotalTime>
  <ScaleCrop>false</ScaleCrop>
  <LinksUpToDate>false</LinksUpToDate>
  <CharactersWithSpaces>994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2026-07-22T09:35:00Z</dcterms:created>
  <dc:creator>asus</dc:creator>
  <cp:lastModifiedBy>小情绪</cp:lastModifiedBy>
  <dcterms:modified xsi:type="dcterms:W3CDTF">2026-07-28T02:06:25Z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eyJoZGlkIjoiMjBhMDcxNjJiMDgyYmFmNjZkNmNkZTQ2NjhjN2NmODciLCJ1c2VySWQiOiI3ODQzNDYyOTgifQ==</vt:lpwstr>
  </property>
  <property fmtid="{D5CDD505-2E9C-101B-9397-08002B2CF9AE}" pid="4" name="ICV">
    <vt:lpwstr>CC3BAFA687DD41B29C293F0499E1F20D_13</vt:lpwstr>
  </property>
</Properties>
</file>