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09893">
      <w:pPr>
        <w:pStyle w:val="4"/>
        <w:numPr>
          <w:ilvl w:val="0"/>
          <w:numId w:val="0"/>
        </w:numPr>
        <w:spacing w:before="0" w:after="0" w:line="360" w:lineRule="auto"/>
        <w:ind w:right="0" w:rightChars="0"/>
        <w:jc w:val="left"/>
        <w:rPr>
          <w:rFonts w:hint="eastAsia" w:ascii="宋体" w:hAnsi="宋体" w:eastAsia="宋体"/>
          <w:color w:val="auto"/>
          <w:sz w:val="28"/>
          <w:szCs w:val="28"/>
          <w:highlight w:val="none"/>
          <w:lang w:val="en-US" w:eastAsia="zh-CN"/>
        </w:rPr>
      </w:pPr>
      <w:r>
        <w:rPr>
          <w:rFonts w:hint="eastAsia" w:ascii="宋体" w:hAnsi="宋体" w:eastAsia="宋体"/>
          <w:color w:val="auto"/>
          <w:sz w:val="28"/>
          <w:szCs w:val="28"/>
          <w:highlight w:val="none"/>
          <w:lang w:val="en-US" w:eastAsia="zh-CN"/>
        </w:rPr>
        <w:t>附件1：项目服务内容及技术参数要求</w:t>
      </w:r>
      <w:r>
        <w:rPr>
          <w:rFonts w:hint="eastAsia" w:ascii="宋体" w:hAnsi="宋体" w:eastAsia="宋体"/>
          <w:color w:val="auto"/>
          <w:sz w:val="28"/>
          <w:szCs w:val="28"/>
          <w:highlight w:val="none"/>
        </w:rPr>
        <w:t>（实质性要求）</w:t>
      </w:r>
    </w:p>
    <w:p w14:paraId="294D75B3">
      <w:pPr>
        <w:spacing w:line="360" w:lineRule="auto"/>
        <w:ind w:firstLine="482" w:firstLineChars="200"/>
        <w:jc w:val="left"/>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★一、实质性要求</w:t>
      </w:r>
    </w:p>
    <w:p w14:paraId="16DE14D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firstLine="480" w:firstLineChars="200"/>
        <w:jc w:val="left"/>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1.平台搭建最高限价2万元（贰万元整）。</w:t>
      </w:r>
    </w:p>
    <w:p w14:paraId="1918390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firstLine="480" w:firstLineChars="200"/>
        <w:jc w:val="left"/>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2.平台管理服务费按单计取，每单平台管理服务费最高限价为该笔订单上门服务费金额的15%收取（材料费及医疗服务项目费不纳入提取范畴）。</w:t>
      </w:r>
    </w:p>
    <w:p w14:paraId="16FAD32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firstLine="482" w:firstLineChars="200"/>
        <w:jc w:val="left"/>
        <w:rPr>
          <w:rFonts w:hint="eastAsia" w:ascii="宋体" w:hAnsi="宋体" w:eastAsia="宋体" w:cs="Times New Roman"/>
          <w:b/>
          <w:bCs/>
          <w:color w:val="auto"/>
          <w:sz w:val="24"/>
          <w:highlight w:val="none"/>
          <w:lang w:val="en-US" w:eastAsia="zh-CN"/>
        </w:rPr>
      </w:pPr>
      <w:r>
        <w:rPr>
          <w:rFonts w:hint="eastAsia" w:ascii="宋体" w:hAnsi="宋体" w:cs="Times New Roman"/>
          <w:b/>
          <w:bCs/>
          <w:color w:val="auto"/>
          <w:sz w:val="24"/>
          <w:highlight w:val="none"/>
          <w:lang w:val="en-US" w:eastAsia="zh-CN"/>
        </w:rPr>
        <w:t>二</w:t>
      </w:r>
      <w:r>
        <w:rPr>
          <w:rFonts w:hint="eastAsia" w:ascii="宋体" w:hAnsi="宋体" w:eastAsia="宋体" w:cs="Times New Roman"/>
          <w:b/>
          <w:bCs/>
          <w:color w:val="auto"/>
          <w:sz w:val="24"/>
          <w:highlight w:val="none"/>
          <w:lang w:val="en-US" w:eastAsia="zh-CN"/>
        </w:rPr>
        <w:t>、综合功能</w:t>
      </w:r>
    </w:p>
    <w:p w14:paraId="487B5B74">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（一）运行功能</w:t>
      </w:r>
    </w:p>
    <w:p w14:paraId="39D68AE0">
      <w:pPr>
        <w:spacing w:line="360" w:lineRule="auto"/>
        <w:ind w:firstLine="480" w:firstLineChars="200"/>
        <w:jc w:val="left"/>
        <w:rPr>
          <w:rFonts w:hint="eastAsia" w:ascii="宋体" w:hAnsi="宋体" w:cs="Times New Roman"/>
          <w:color w:val="auto"/>
          <w:kern w:val="2"/>
          <w:sz w:val="24"/>
          <w:szCs w:val="24"/>
          <w:highlight w:val="yellow"/>
          <w:lang w:val="en-US" w:eastAsia="zh-CN" w:bidi="ar-SA"/>
        </w:rPr>
      </w:pP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kern w:val="2"/>
          <w:sz w:val="24"/>
          <w:szCs w:val="24"/>
          <w:highlight w:val="none"/>
          <w:lang w:val="en-US" w:eastAsia="zh-CN" w:bidi="ar-SA"/>
        </w:rPr>
        <w:t>通过互联网医院可独立为患者开具正规医疗服务费发票</w:t>
      </w:r>
      <w:r>
        <w:rPr>
          <w:rFonts w:hint="eastAsia" w:ascii="宋体" w:hAnsi="宋体" w:cs="Times New Roman"/>
          <w:color w:val="auto"/>
          <w:kern w:val="2"/>
          <w:sz w:val="24"/>
          <w:szCs w:val="24"/>
          <w:highlight w:val="none"/>
          <w:lang w:val="en-US" w:eastAsia="zh-CN" w:bidi="ar-SA"/>
        </w:rPr>
        <w:t>。</w:t>
      </w:r>
    </w:p>
    <w:p w14:paraId="2941D2E4">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w:t>
      </w:r>
      <w:r>
        <w:rPr>
          <w:rFonts w:hint="eastAsia" w:ascii="宋体" w:hAnsi="宋体" w:cs="Times New Roman"/>
          <w:color w:val="auto"/>
          <w:sz w:val="24"/>
          <w:highlight w:val="none"/>
          <w:lang w:val="en-US" w:eastAsia="zh-CN"/>
        </w:rPr>
        <w:t>2</w:t>
      </w:r>
      <w:r>
        <w:rPr>
          <w:rFonts w:hint="eastAsia" w:ascii="宋体" w:hAnsi="宋体" w:eastAsia="宋体" w:cs="Times New Roman"/>
          <w:color w:val="auto"/>
          <w:sz w:val="24"/>
          <w:highlight w:val="none"/>
          <w:lang w:val="en-US" w:eastAsia="zh-CN"/>
        </w:rPr>
        <w:t>）端口对接：实现与医院互联网医院平台对接，包括微信公众号、微信小程序等途径。实现患者访问服务。有同省卫健委监管平台对接的实际案例。</w:t>
      </w:r>
    </w:p>
    <w:p w14:paraId="00C77593">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w:t>
      </w:r>
      <w:r>
        <w:rPr>
          <w:rFonts w:hint="eastAsia" w:ascii="宋体" w:hAnsi="宋体" w:cs="Times New Roman"/>
          <w:color w:val="auto"/>
          <w:sz w:val="24"/>
          <w:highlight w:val="none"/>
          <w:lang w:val="en-US" w:eastAsia="zh-CN"/>
        </w:rPr>
        <w:t>3</w:t>
      </w:r>
      <w:r>
        <w:rPr>
          <w:rFonts w:hint="eastAsia" w:ascii="宋体" w:hAnsi="宋体" w:eastAsia="宋体" w:cs="Times New Roman"/>
          <w:color w:val="auto"/>
          <w:sz w:val="24"/>
          <w:highlight w:val="none"/>
          <w:lang w:val="en-US" w:eastAsia="zh-CN"/>
        </w:rPr>
        <w:t>）软件框架：有成熟、完善的系统框架，且在其它医院有良好运行经验。同时在前期框架搭建过程中，可支持医院在现有基础上做运行流程、收费流程、耗材管理、服务项目、展现形式和具体内容等个性化定制。</w:t>
      </w:r>
    </w:p>
    <w:p w14:paraId="10FFD96A">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w:t>
      </w:r>
      <w:r>
        <w:rPr>
          <w:rFonts w:hint="eastAsia" w:ascii="宋体" w:hAnsi="宋体" w:cs="Times New Roman"/>
          <w:color w:val="auto"/>
          <w:sz w:val="24"/>
          <w:highlight w:val="none"/>
          <w:lang w:val="en-US" w:eastAsia="zh-CN"/>
        </w:rPr>
        <w:t>4</w:t>
      </w:r>
      <w:r>
        <w:rPr>
          <w:rFonts w:hint="eastAsia" w:ascii="宋体" w:hAnsi="宋体" w:eastAsia="宋体" w:cs="Times New Roman"/>
          <w:color w:val="auto"/>
          <w:sz w:val="24"/>
          <w:highlight w:val="none"/>
          <w:lang w:val="en-US" w:eastAsia="zh-CN"/>
        </w:rPr>
        <w:t>）信息安全：系统具有完善的个人隐私和信息安全保护功能，符合国家信息安全等级保护要求（平台必须通过国家信息安全三级保护评测，不得买卖和泄露患者个人信息）。</w:t>
      </w:r>
    </w:p>
    <w:p w14:paraId="21091D94">
      <w:pPr>
        <w:spacing w:line="360" w:lineRule="auto"/>
        <w:ind w:firstLine="480" w:firstLineChars="200"/>
        <w:jc w:val="left"/>
        <w:rPr>
          <w:rFonts w:hint="eastAsia" w:ascii="宋体" w:hAnsi="宋体" w:eastAsia="宋体" w:cs="Times New Roman"/>
          <w:b w:val="0"/>
          <w:bCs w:val="0"/>
          <w:color w:val="auto"/>
          <w:sz w:val="24"/>
          <w:highlight w:val="none"/>
          <w:lang w:val="en-US" w:eastAsia="zh-CN"/>
        </w:rPr>
      </w:pPr>
      <w:r>
        <w:rPr>
          <w:rFonts w:hint="eastAsia" w:ascii="宋体" w:hAnsi="宋体" w:eastAsia="宋体" w:cs="Times New Roman"/>
          <w:b w:val="0"/>
          <w:bCs w:val="0"/>
          <w:color w:val="auto"/>
          <w:sz w:val="24"/>
          <w:highlight w:val="none"/>
          <w:lang w:val="en-US" w:eastAsia="zh-CN"/>
        </w:rPr>
        <w:t>（二）运营服务</w:t>
      </w:r>
    </w:p>
    <w:p w14:paraId="1F9A5550">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（1）运营服务：有成熟的运营经验、完善的运营流程和服务体系。有专业团队帮助医院进行日常运营、宣传、技术维护等服务。协助医院进行前期互联网+护理服务框架搭建，并保证在中标7个工作日内顺利运行。</w:t>
      </w:r>
    </w:p>
    <w:p w14:paraId="31015004">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（2）护士培训：对护士进行“互联网+护理服务”培训，包括上门基本流程和法律法规、沟通技巧等，可提供大学合作的相关培训视频课程。</w:t>
      </w:r>
    </w:p>
    <w:p w14:paraId="7671C1A2">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（3）相关</w:t>
      </w:r>
      <w:r>
        <w:rPr>
          <w:rFonts w:hint="eastAsia" w:ascii="宋体" w:hAnsi="宋体" w:cs="Times New Roman"/>
          <w:color w:val="auto"/>
          <w:sz w:val="24"/>
          <w:highlight w:val="none"/>
          <w:lang w:val="en-US" w:eastAsia="zh-CN"/>
        </w:rPr>
        <w:t>服务</w:t>
      </w:r>
      <w:r>
        <w:rPr>
          <w:rFonts w:hint="eastAsia" w:ascii="宋体" w:hAnsi="宋体" w:eastAsia="宋体" w:cs="Times New Roman"/>
          <w:color w:val="auto"/>
          <w:sz w:val="24"/>
          <w:highlight w:val="none"/>
          <w:lang w:val="en-US" w:eastAsia="zh-CN"/>
        </w:rPr>
        <w:t>：协助医院完善并优化互联网+护理服务管理制度。协助医院提供数据统计、科研项目申报、科研成果申请服务</w:t>
      </w:r>
      <w:r>
        <w:rPr>
          <w:rFonts w:hint="eastAsia" w:ascii="宋体" w:hAnsi="宋体" w:cs="Times New Roman"/>
          <w:color w:val="auto"/>
          <w:sz w:val="24"/>
          <w:highlight w:val="none"/>
          <w:lang w:val="en-US" w:eastAsia="zh-CN"/>
        </w:rPr>
        <w:t>。</w:t>
      </w:r>
    </w:p>
    <w:p w14:paraId="7EA8853D">
      <w:pPr>
        <w:spacing w:line="360" w:lineRule="auto"/>
        <w:ind w:firstLine="482" w:firstLineChars="200"/>
        <w:jc w:val="left"/>
        <w:rPr>
          <w:rFonts w:hint="eastAsia" w:ascii="宋体" w:hAnsi="宋体" w:eastAsia="宋体" w:cs="Times New Roman"/>
          <w:b/>
          <w:bCs/>
          <w:color w:val="auto"/>
          <w:sz w:val="24"/>
          <w:highlight w:val="none"/>
          <w:lang w:val="en-US" w:eastAsia="zh-CN"/>
        </w:rPr>
      </w:pPr>
      <w:r>
        <w:rPr>
          <w:rFonts w:hint="eastAsia" w:ascii="宋体" w:hAnsi="宋体" w:cs="Times New Roman"/>
          <w:b/>
          <w:bCs/>
          <w:color w:val="auto"/>
          <w:sz w:val="24"/>
          <w:highlight w:val="none"/>
          <w:lang w:val="en-US" w:eastAsia="zh-CN"/>
        </w:rPr>
        <w:t>三</w:t>
      </w:r>
      <w:r>
        <w:rPr>
          <w:rFonts w:hint="eastAsia" w:ascii="宋体" w:hAnsi="宋体" w:eastAsia="宋体" w:cs="Times New Roman"/>
          <w:b/>
          <w:bCs/>
          <w:color w:val="auto"/>
          <w:sz w:val="24"/>
          <w:highlight w:val="none"/>
          <w:lang w:val="en-US" w:eastAsia="zh-CN"/>
        </w:rPr>
        <w:t>、医院管理端功能</w:t>
      </w:r>
    </w:p>
    <w:p w14:paraId="0F9AAEE6">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（一）首页信息：</w:t>
      </w:r>
    </w:p>
    <w:p w14:paraId="3C794E73">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（1）综合查询：提供订单名称、耗材种类、服务项目、患者姓名、费用、护士信息等查询功能。</w:t>
      </w:r>
    </w:p>
    <w:p w14:paraId="35D050D5">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（2）功能模块：医院设置、订单管理、人员管理、项目管理、数据分析、报警处理等</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显示待处理订单、显示待处理报警。</w:t>
      </w:r>
    </w:p>
    <w:p w14:paraId="440E29BD">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（二）订单管理：</w:t>
      </w:r>
    </w:p>
    <w:p w14:paraId="76DC4F50">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（1）患者信息：具备服务对象身份认证、病历资料采集存储等功能。</w:t>
      </w:r>
    </w:p>
    <w:p w14:paraId="218237CB">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订单处理：具备患者评估、平台下单、指定护士下单等功能。可配置先付款后审核和先审核后付款两种模式。派单可以是患者指定护士也可以是护士抢单模式。同时具备协同服务模式与单人服务模式，可根据患者实际情况，同时配备两名护士上门服务，也可以一个护士上门服务，服务模式多样化。可以自动屏蔽黑名单患者。</w:t>
      </w:r>
    </w:p>
    <w:p w14:paraId="50A1FE13">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（3）订单查询：查看上门服务订单的基本数据及详情：订单信息、订单流程、增改订单、数据统计等。</w:t>
      </w:r>
    </w:p>
    <w:p w14:paraId="32B78E14">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（三）人员管理：</w:t>
      </w:r>
    </w:p>
    <w:p w14:paraId="3CE0CE24">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（1）患者管理：对申请上门服务的患者进行管理，包括患者列表、筛选调取信息、服务信息、黑名单管理等。</w:t>
      </w:r>
    </w:p>
    <w:p w14:paraId="473E7358">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（2）护士管理：可添加、删除、编辑上门服务护士资料。</w:t>
      </w:r>
    </w:p>
    <w:p w14:paraId="26A0BF7D">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（3）人员统计：查看患者对护士满意度评价，统计护士对患者评价情况。</w:t>
      </w:r>
    </w:p>
    <w:p w14:paraId="4304A6DE">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（四）安全管理：</w:t>
      </w:r>
    </w:p>
    <w:p w14:paraId="2C82A019">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（1）身份识别：可对从业护士和服务对象进行实名认证。</w:t>
      </w:r>
    </w:p>
    <w:p w14:paraId="6C4DBAC0">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（2）隐私保护：护士与患者之间通过平台进行隐私号码通话。</w:t>
      </w:r>
    </w:p>
    <w:p w14:paraId="5E01ED43">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（3）时间管理：可分别配置患者下单时间段和可预约时间段。</w:t>
      </w:r>
    </w:p>
    <w:p w14:paraId="512160DB">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（4）不良事件：具备不良事件的统计管理。</w:t>
      </w:r>
    </w:p>
    <w:p w14:paraId="7A6466FB">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跟踪定位：实现定位追踪和全程录音功能，使服务行为全程留痕可追溯；有一键报警装置，能实时跟踪显示在线护理人员；支持护士人工进行一键报警；有异常报警功能，护士位置异常和长时间不能完成订单时后台能收到警示信息，后台人员介入保障护士安全。</w:t>
      </w:r>
    </w:p>
    <w:p w14:paraId="67065743">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（6）报警处理：收到报警信息能提醒管理人员、平台管理人员、紧急联系人第一时间处理。能够查看历史报警记录、对未完成报警信息处理的进行管理提醒。</w:t>
      </w:r>
    </w:p>
    <w:p w14:paraId="56CEFAF0">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（7）指挥中心：对正在服务中订单相关护理人员进行定位跟踪，管理人员能随时通过地图定位功能查看其实时位置、工作状态。</w:t>
      </w:r>
    </w:p>
    <w:p w14:paraId="60B1BF69">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（8）保险购买：平台与保险公司签订合同，提供每单不低于50万的护士、患者、医院三方“互联网+护理服务”保险，能够在护士出发时，第一时间自动生成保险单。</w:t>
      </w:r>
    </w:p>
    <w:p w14:paraId="47617212">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（9）纠纷和投诉处理：如出现纠纷和投诉，由软件公司负责与保险公司和院方之间的协调处理。</w:t>
      </w:r>
    </w:p>
    <w:p w14:paraId="7B0C7630">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（五）项目管理：</w:t>
      </w:r>
    </w:p>
    <w:p w14:paraId="6B51D3E6">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服务项目：对医院开展上门护理项目进行综合管理，有完善的操作项目库，包括操作流程、操作标准、服务内容配置等（至少包括省卫健委文件中的操作项目，分为基础护理、健康指导、皮肤护理、管路维护、母婴护理、糖尿病护理、中医护理、康复护理、标本釆集等），可增加或删减服务项目。</w:t>
      </w:r>
    </w:p>
    <w:p w14:paraId="0BEC32CB">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（2）护理文书：有完善的护理文书模板，包括护理文件书写内容及格式、风险告知书、满意度评价等，管理人员能够新建、编辑和删除风险告知书。</w:t>
      </w:r>
    </w:p>
    <w:p w14:paraId="0EB1DDAE">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材料管理：管理相关耗材，包括配置设置、上下架配置，护士端显示耗材项目明细，患者端显示为耗材包，也可以护士端与患者端同时显示耗材明细，耗材配置个性化，设置增值耗材可临时增加耗材及收费。</w:t>
      </w:r>
    </w:p>
    <w:p w14:paraId="1AB039A1">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（4）护理宣教：支持配置各项目护理宣教，针对不同的上门护理项目可以在后台分别上传或关联对应的宣教材料。患者下单或服务完成后，系统能自动推送与该项目直接相关的护理指导和宣教内容。</w:t>
      </w:r>
    </w:p>
    <w:p w14:paraId="0789510D">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（六）费用管理：</w:t>
      </w:r>
    </w:p>
    <w:p w14:paraId="29A21961">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（1）费用收取：全部费用通过平台收取，支持预约后取消订单流程、二次收费、出具电子发票（收据）。患者可以在线支付费用，如取消订单可以原路退回费用，可以全额退或者根据百分比退费。</w:t>
      </w:r>
    </w:p>
    <w:p w14:paraId="59EA7134">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（2）收费标准：支持框架搭建阶段不同项目收费标准核算以及服务后期交通费、护士收入等费用核算。能根据患者地址显示与医院的导航距离，支持医院根据当地出租车标准设定往返交通费。</w:t>
      </w:r>
    </w:p>
    <w:p w14:paraId="1905F720">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（3）账单明细：查看账号总额、收支情况、耗材明细帐单，日账单、月账单，每笔账单的详细信息。</w:t>
      </w:r>
    </w:p>
    <w:p w14:paraId="73691632">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（4）收益分配：</w:t>
      </w:r>
    </w:p>
    <w:p w14:paraId="0A707FB9">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①收益分配：明确收益分配比例。</w:t>
      </w:r>
    </w:p>
    <w:p w14:paraId="15258FBA">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②医院方定价上门服务费，交通费（按照导航距离和当地出租车收费标准算往返费）。</w:t>
      </w:r>
    </w:p>
    <w:p w14:paraId="2037784A">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③患者下单需支付：医疗服务费+上门服务费（含交通费+耗材费+保险费+护士服务费+医院管理费+运维服务费），或先不收取耗材费，由护士上门服务时确定需要何种耗材，再支付耗材费</w:t>
      </w:r>
      <w:r>
        <w:rPr>
          <w:rFonts w:hint="eastAsia" w:ascii="宋体" w:hAnsi="宋体" w:cs="Times New Roman"/>
          <w:color w:val="auto"/>
          <w:sz w:val="24"/>
          <w:highlight w:val="none"/>
          <w:lang w:val="en-US" w:eastAsia="zh-CN"/>
        </w:rPr>
        <w:t>。</w:t>
      </w:r>
    </w:p>
    <w:p w14:paraId="6E4BF1DF">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（七）权限管理：</w:t>
      </w:r>
    </w:p>
    <w:p w14:paraId="172A5F24">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（1）个人信息：支持个人信息修改，角色授权及密码管理。</w:t>
      </w:r>
    </w:p>
    <w:p w14:paraId="3617399B">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（2）管理权限：分为个人管理、科室/专业小组管理和医院管理三个层级，设置不同管理权限，可新建、编辑具体信息，对执业护士资格认证进行审核。</w:t>
      </w:r>
    </w:p>
    <w:p w14:paraId="5BBCD47D">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（八）数据管理：</w:t>
      </w:r>
    </w:p>
    <w:p w14:paraId="6A924013">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（1）服务资料：服务过程中产生的病例数据资料需全程留痕，可查询、可追溯。</w:t>
      </w:r>
    </w:p>
    <w:p w14:paraId="69A55EF8">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（2）项目统计：分析不同项目占比及数量、收支情况及每日护理订单量。分类进行项目及个人工作量统计等。</w:t>
      </w:r>
    </w:p>
    <w:p w14:paraId="1CEDA389">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（3）订单统计：统计累计服务患者、订单总量及订单详细数据、交易金额等。可根据关键词查看当天、本周、本月、年度及自选时间段订单变化趋势图。</w:t>
      </w:r>
    </w:p>
    <w:p w14:paraId="7CFBA9B8">
      <w:pPr>
        <w:spacing w:line="360" w:lineRule="auto"/>
        <w:ind w:firstLine="482" w:firstLineChars="200"/>
        <w:jc w:val="left"/>
        <w:rPr>
          <w:rFonts w:hint="eastAsia" w:ascii="宋体" w:hAnsi="宋体" w:eastAsia="宋体" w:cs="Times New Roman"/>
          <w:b/>
          <w:bCs/>
          <w:color w:val="auto"/>
          <w:sz w:val="24"/>
          <w:highlight w:val="none"/>
          <w:lang w:val="en-US" w:eastAsia="zh-CN"/>
        </w:rPr>
      </w:pPr>
      <w:r>
        <w:rPr>
          <w:rFonts w:hint="eastAsia" w:ascii="宋体" w:hAnsi="宋体" w:cs="Times New Roman"/>
          <w:b/>
          <w:bCs/>
          <w:color w:val="auto"/>
          <w:sz w:val="24"/>
          <w:highlight w:val="none"/>
          <w:lang w:val="en-US" w:eastAsia="zh-CN"/>
        </w:rPr>
        <w:t>四</w:t>
      </w:r>
      <w:r>
        <w:rPr>
          <w:rFonts w:hint="eastAsia" w:ascii="宋体" w:hAnsi="宋体" w:eastAsia="宋体" w:cs="Times New Roman"/>
          <w:b/>
          <w:bCs/>
          <w:color w:val="auto"/>
          <w:sz w:val="24"/>
          <w:highlight w:val="none"/>
          <w:lang w:val="en-US" w:eastAsia="zh-CN"/>
        </w:rPr>
        <w:t>、患者端功能</w:t>
      </w:r>
    </w:p>
    <w:p w14:paraId="65907E65">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（一）预约订单：包含身份证信息、患者基本病情上传、患者病情信息、服务项目选择等。可预约单次上门服务或购买长期护理套餐核销使用。</w:t>
      </w:r>
    </w:p>
    <w:p w14:paraId="752B9D2A">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（二）身份认证</w:t>
      </w:r>
      <w:r>
        <w:rPr>
          <w:rFonts w:hint="eastAsia" w:ascii="宋体" w:hAnsi="宋体" w:cs="Times New Roman"/>
          <w:color w:val="auto"/>
          <w:sz w:val="24"/>
          <w:highlight w:val="none"/>
          <w:lang w:val="en-US" w:eastAsia="zh-CN"/>
        </w:rPr>
        <w:t>及风险告知书</w:t>
      </w:r>
      <w:r>
        <w:rPr>
          <w:rFonts w:hint="eastAsia" w:ascii="宋体" w:hAnsi="宋体" w:eastAsia="宋体" w:cs="Times New Roman"/>
          <w:color w:val="auto"/>
          <w:sz w:val="24"/>
          <w:highlight w:val="none"/>
          <w:lang w:val="en-US" w:eastAsia="zh-CN"/>
        </w:rPr>
        <w:t>：通过上传身份资料（如身份证）进行实名认证</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在线阅读并确认风险告知书内容。</w:t>
      </w:r>
    </w:p>
    <w:p w14:paraId="3833DE61">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w:t>
      </w:r>
      <w:r>
        <w:rPr>
          <w:rFonts w:hint="eastAsia" w:ascii="宋体" w:hAnsi="宋体" w:cs="Times New Roman"/>
          <w:color w:val="auto"/>
          <w:sz w:val="24"/>
          <w:highlight w:val="none"/>
          <w:lang w:val="en-US" w:eastAsia="zh-CN"/>
        </w:rPr>
        <w:t>三</w:t>
      </w:r>
      <w:r>
        <w:rPr>
          <w:rFonts w:hint="eastAsia" w:ascii="宋体" w:hAnsi="宋体" w:eastAsia="宋体" w:cs="Times New Roman"/>
          <w:color w:val="auto"/>
          <w:sz w:val="24"/>
          <w:highlight w:val="none"/>
          <w:lang w:val="en-US" w:eastAsia="zh-CN"/>
        </w:rPr>
        <w:t>）服务项目：图文列表查看医院可开展的护理服务项目、内容及价格、查看患者本人既往已完成的服务项目。</w:t>
      </w:r>
    </w:p>
    <w:p w14:paraId="53B6F4B1">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w:t>
      </w:r>
      <w:r>
        <w:rPr>
          <w:rFonts w:hint="eastAsia" w:ascii="宋体" w:hAnsi="宋体" w:cs="Times New Roman"/>
          <w:color w:val="auto"/>
          <w:sz w:val="24"/>
          <w:highlight w:val="none"/>
          <w:lang w:val="en-US" w:eastAsia="zh-CN"/>
        </w:rPr>
        <w:t>四</w:t>
      </w:r>
      <w:r>
        <w:rPr>
          <w:rFonts w:hint="eastAsia" w:ascii="宋体" w:hAnsi="宋体" w:eastAsia="宋体" w:cs="Times New Roman"/>
          <w:color w:val="auto"/>
          <w:sz w:val="24"/>
          <w:highlight w:val="none"/>
          <w:lang w:val="en-US" w:eastAsia="zh-CN"/>
        </w:rPr>
        <w:t>）上门护士：可查看上门护士具体信息：归属科室、认证状态、服务项目、执业资料等。</w:t>
      </w:r>
    </w:p>
    <w:p w14:paraId="2188CC43">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w:t>
      </w:r>
      <w:r>
        <w:rPr>
          <w:rFonts w:hint="eastAsia" w:ascii="宋体" w:hAnsi="宋体" w:cs="Times New Roman"/>
          <w:color w:val="auto"/>
          <w:sz w:val="24"/>
          <w:highlight w:val="none"/>
          <w:lang w:val="en-US" w:eastAsia="zh-CN"/>
        </w:rPr>
        <w:t>五</w:t>
      </w:r>
      <w:r>
        <w:rPr>
          <w:rFonts w:hint="eastAsia" w:ascii="宋体" w:hAnsi="宋体" w:eastAsia="宋体" w:cs="Times New Roman"/>
          <w:color w:val="auto"/>
          <w:sz w:val="24"/>
          <w:highlight w:val="none"/>
          <w:lang w:val="en-US" w:eastAsia="zh-CN"/>
        </w:rPr>
        <w:t>）订单管理：对已申请的订单进行管理、取消订单、跟踪订单进度、服务授权、联系管理员。</w:t>
      </w:r>
    </w:p>
    <w:p w14:paraId="7292EBB1">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w:t>
      </w:r>
      <w:r>
        <w:rPr>
          <w:rFonts w:hint="eastAsia" w:ascii="宋体" w:hAnsi="宋体" w:cs="Times New Roman"/>
          <w:color w:val="auto"/>
          <w:sz w:val="24"/>
          <w:highlight w:val="none"/>
          <w:lang w:val="en-US" w:eastAsia="zh-CN"/>
        </w:rPr>
        <w:t>六</w:t>
      </w:r>
      <w:r>
        <w:rPr>
          <w:rFonts w:hint="eastAsia" w:ascii="宋体" w:hAnsi="宋体" w:eastAsia="宋体" w:cs="Times New Roman"/>
          <w:color w:val="auto"/>
          <w:sz w:val="24"/>
          <w:highlight w:val="none"/>
          <w:lang w:val="en-US" w:eastAsia="zh-CN"/>
        </w:rPr>
        <w:t>）服务评价：服务结束后进行综合评价，根据专业性、服务态度、整体满意度等进行评价，同时可以反馈对平台或者订单的意见或建议。</w:t>
      </w:r>
    </w:p>
    <w:p w14:paraId="0F45EFAD">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w:t>
      </w:r>
      <w:r>
        <w:rPr>
          <w:rFonts w:hint="eastAsia" w:ascii="宋体" w:hAnsi="宋体" w:cs="Times New Roman"/>
          <w:color w:val="auto"/>
          <w:sz w:val="24"/>
          <w:highlight w:val="none"/>
          <w:lang w:val="en-US" w:eastAsia="zh-CN"/>
        </w:rPr>
        <w:t>七</w:t>
      </w:r>
      <w:r>
        <w:rPr>
          <w:rFonts w:hint="eastAsia" w:ascii="宋体" w:hAnsi="宋体" w:eastAsia="宋体" w:cs="Times New Roman"/>
          <w:color w:val="auto"/>
          <w:sz w:val="24"/>
          <w:highlight w:val="none"/>
          <w:lang w:val="en-US" w:eastAsia="zh-CN"/>
        </w:rPr>
        <w:t>）AI在线客服咨询：可随时提供患者的咨询问题。</w:t>
      </w:r>
    </w:p>
    <w:p w14:paraId="748FDF01">
      <w:pPr>
        <w:spacing w:line="360" w:lineRule="auto"/>
        <w:ind w:firstLine="482" w:firstLineChars="200"/>
        <w:jc w:val="left"/>
        <w:rPr>
          <w:rFonts w:hint="eastAsia" w:ascii="宋体" w:hAnsi="宋体" w:eastAsia="宋体" w:cs="Times New Roman"/>
          <w:b/>
          <w:bCs/>
          <w:color w:val="auto"/>
          <w:sz w:val="24"/>
          <w:highlight w:val="none"/>
          <w:lang w:val="en-US" w:eastAsia="zh-CN"/>
        </w:rPr>
      </w:pPr>
      <w:r>
        <w:rPr>
          <w:rFonts w:hint="eastAsia" w:ascii="宋体" w:hAnsi="宋体" w:cs="Times New Roman"/>
          <w:b/>
          <w:bCs/>
          <w:color w:val="auto"/>
          <w:sz w:val="24"/>
          <w:highlight w:val="none"/>
          <w:lang w:val="en-US" w:eastAsia="zh-CN"/>
        </w:rPr>
        <w:t>五</w:t>
      </w:r>
      <w:r>
        <w:rPr>
          <w:rFonts w:hint="eastAsia" w:ascii="宋体" w:hAnsi="宋体" w:eastAsia="宋体" w:cs="Times New Roman"/>
          <w:b/>
          <w:bCs/>
          <w:color w:val="auto"/>
          <w:sz w:val="24"/>
          <w:highlight w:val="none"/>
          <w:lang w:val="en-US" w:eastAsia="zh-CN"/>
        </w:rPr>
        <w:t>、医护端功能</w:t>
      </w:r>
    </w:p>
    <w:p w14:paraId="49599EE9">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（一）订单管理</w:t>
      </w:r>
    </w:p>
    <w:p w14:paraId="3B8EB1A2">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（1）护士上门服务时，可在现场增加对服务项目、所用耗材、增值服务进行增改或升级。</w:t>
      </w:r>
    </w:p>
    <w:p w14:paraId="53807EA9">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（2）显示待处理订单和已完成订单，可查看订单详情。</w:t>
      </w:r>
    </w:p>
    <w:p w14:paraId="0A0E6140">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处理分配的上门护理服务订单。包含未开始订单、进行中订单及完成订单。护士可以进行修改时间、转派。记录订单出发、开始服务、完成服务、护理总结、患者评价等，能实时定位跟踪。如患者临时取消订单，护士能在第一时间收到通知。</w:t>
      </w:r>
    </w:p>
    <w:p w14:paraId="433AE5C2">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（4）服务前患者对风险告知书进行电子签名确认，护士服务过程中全程录音，服务结束后护士填写护理文书，并通过图片+定位信息对医疗废物处理进行留痕记录。</w:t>
      </w:r>
    </w:p>
    <w:p w14:paraId="47CADD27">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（二）个人中心</w:t>
      </w:r>
    </w:p>
    <w:p w14:paraId="7C6B55BA">
      <w:pPr>
        <w:pStyle w:val="5"/>
        <w:ind w:firstLine="480" w:firstLineChars="200"/>
        <w:jc w:val="left"/>
        <w:rPr>
          <w:rFonts w:hint="eastAsia"/>
          <w:highlight w:val="none"/>
          <w:lang w:val="en-US" w:eastAsia="zh-CN"/>
        </w:rPr>
      </w:pPr>
      <w:r>
        <w:rPr>
          <w:rFonts w:hint="eastAsia" w:ascii="宋体" w:hAnsi="宋体" w:eastAsia="宋体" w:cs="Times New Roman"/>
          <w:color w:val="auto"/>
          <w:sz w:val="24"/>
          <w:highlight w:val="none"/>
          <w:lang w:val="en-US" w:eastAsia="zh-CN"/>
        </w:rPr>
        <w:t>（1）护士二维码：出示个人二维码，患者扫码查看护士信息及预约下单。</w:t>
      </w:r>
    </w:p>
    <w:p w14:paraId="37AC6B88">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（2）个人信息：个人资料完善管理、账号设置等。</w:t>
      </w:r>
    </w:p>
    <w:p w14:paraId="7008B11D">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（3）安全设置：紧急联系人设置、实时位置设置、一键报警等。</w:t>
      </w:r>
    </w:p>
    <w:p w14:paraId="1F8A027B">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（4）操作指南：上门服务步骤、接单流程、订单处理流程、个人资料修改等系统功能操作指导。</w:t>
      </w:r>
    </w:p>
    <w:p w14:paraId="0E395811">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（5）不良事件：不良事件详细记录和管理。</w:t>
      </w:r>
    </w:p>
    <w:p w14:paraId="74A5951C">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（6）服务数据：收益、服务单数、邀请人数、患者评价等数据统计。</w:t>
      </w:r>
    </w:p>
    <w:p w14:paraId="52438EC9">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（三）意见反馈：对平台或者订单的意见或建议。</w:t>
      </w:r>
    </w:p>
    <w:p w14:paraId="2FAB2121">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（四）</w:t>
      </w:r>
      <w:r>
        <w:rPr>
          <w:rFonts w:hint="eastAsia" w:ascii="宋体" w:hAnsi="宋体" w:eastAsia="宋体" w:cs="Times New Roman"/>
          <w:color w:val="auto"/>
          <w:sz w:val="24"/>
          <w:highlight w:val="none"/>
          <w:lang w:val="en-US" w:eastAsia="zh-CN"/>
        </w:rPr>
        <w:t>本次项目包含所有安装、调试、培训、数据迁移、业务切割、系统集成、接口等费用，若此次项目新增硬件或其他，由</w:t>
      </w:r>
      <w:r>
        <w:rPr>
          <w:rFonts w:hint="eastAsia" w:ascii="宋体" w:hAnsi="宋体" w:cs="Times New Roman"/>
          <w:color w:val="auto"/>
          <w:sz w:val="24"/>
          <w:highlight w:val="none"/>
          <w:lang w:val="en-US" w:eastAsia="zh-CN"/>
        </w:rPr>
        <w:t>成交供应商</w:t>
      </w:r>
      <w:r>
        <w:rPr>
          <w:rFonts w:hint="eastAsia" w:ascii="宋体" w:hAnsi="宋体" w:eastAsia="宋体" w:cs="Times New Roman"/>
          <w:color w:val="auto"/>
          <w:sz w:val="24"/>
          <w:highlight w:val="none"/>
          <w:lang w:val="en-US" w:eastAsia="zh-CN"/>
        </w:rPr>
        <w:t>自行解决，采购人不负责任何后续新增费用。实施过程中需要现有平台、HIS等信息系统厂商配合，由</w:t>
      </w:r>
      <w:r>
        <w:rPr>
          <w:rFonts w:hint="eastAsia" w:ascii="宋体" w:hAnsi="宋体" w:cs="Times New Roman"/>
          <w:color w:val="auto"/>
          <w:sz w:val="24"/>
          <w:highlight w:val="none"/>
          <w:lang w:val="en-US" w:eastAsia="zh-CN"/>
        </w:rPr>
        <w:t>成交供应商</w:t>
      </w:r>
      <w:r>
        <w:rPr>
          <w:rFonts w:hint="eastAsia" w:ascii="宋体" w:hAnsi="宋体" w:eastAsia="宋体" w:cs="Times New Roman"/>
          <w:color w:val="auto"/>
          <w:sz w:val="24"/>
          <w:highlight w:val="none"/>
          <w:lang w:val="en-US" w:eastAsia="zh-CN"/>
        </w:rPr>
        <w:t>负责协调，涉及到的相关费用均由</w:t>
      </w:r>
      <w:r>
        <w:rPr>
          <w:rFonts w:hint="eastAsia" w:ascii="宋体" w:hAnsi="宋体" w:cs="Times New Roman"/>
          <w:color w:val="auto"/>
          <w:sz w:val="24"/>
          <w:highlight w:val="none"/>
          <w:lang w:val="en-US" w:eastAsia="zh-CN"/>
        </w:rPr>
        <w:t>成交供应商</w:t>
      </w:r>
      <w:r>
        <w:rPr>
          <w:rFonts w:hint="eastAsia" w:ascii="宋体" w:hAnsi="宋体" w:eastAsia="宋体" w:cs="Times New Roman"/>
          <w:color w:val="auto"/>
          <w:sz w:val="24"/>
          <w:highlight w:val="none"/>
          <w:lang w:val="en-US" w:eastAsia="zh-CN"/>
        </w:rPr>
        <w:t>承担，采购人不再另外支付。</w:t>
      </w:r>
    </w:p>
    <w:p w14:paraId="68FA6594">
      <w:pPr>
        <w:spacing w:line="360" w:lineRule="auto"/>
        <w:ind w:firstLine="562" w:firstLineChars="200"/>
        <w:jc w:val="left"/>
        <w:rPr>
          <w:rFonts w:ascii="宋体" w:hAnsi="宋体" w:eastAsia="宋体"/>
          <w:b/>
          <w:bCs/>
          <w:color w:val="auto"/>
          <w:sz w:val="28"/>
          <w:szCs w:val="28"/>
          <w:highlight w:val="none"/>
        </w:rPr>
      </w:pPr>
      <w:r>
        <w:rPr>
          <w:rFonts w:hint="eastAsia" w:ascii="宋体" w:hAnsi="宋体"/>
          <w:b/>
          <w:bCs/>
          <w:color w:val="auto"/>
          <w:sz w:val="28"/>
          <w:szCs w:val="28"/>
          <w:highlight w:val="none"/>
          <w:lang w:val="en-US" w:eastAsia="zh-CN"/>
        </w:rPr>
        <w:t>四</w:t>
      </w:r>
      <w:r>
        <w:rPr>
          <w:rFonts w:hint="eastAsia" w:ascii="宋体" w:hAnsi="宋体" w:eastAsia="宋体"/>
          <w:b/>
          <w:bCs/>
          <w:color w:val="auto"/>
          <w:sz w:val="28"/>
          <w:szCs w:val="28"/>
          <w:highlight w:val="none"/>
        </w:rPr>
        <w:t>、商务要求（实质性要求）</w:t>
      </w:r>
    </w:p>
    <w:p w14:paraId="5C9B6A07">
      <w:pPr>
        <w:spacing w:line="360" w:lineRule="auto"/>
        <w:ind w:firstLine="480" w:firstLineChars="200"/>
        <w:jc w:val="left"/>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1</w:t>
      </w: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服务期限</w:t>
      </w:r>
      <w:r>
        <w:rPr>
          <w:rFonts w:hint="eastAsia" w:ascii="宋体" w:hAnsi="宋体" w:eastAsia="宋体" w:cs="Times New Roman"/>
          <w:color w:val="auto"/>
          <w:sz w:val="24"/>
          <w:highlight w:val="none"/>
        </w:rPr>
        <w:t>：</w:t>
      </w:r>
      <w:r>
        <w:rPr>
          <w:rFonts w:hint="eastAsia" w:ascii="宋体" w:hAnsi="宋体" w:cs="Times New Roman"/>
          <w:color w:val="auto"/>
          <w:sz w:val="24"/>
          <w:highlight w:val="none"/>
          <w:lang w:val="en-US" w:eastAsia="zh-CN"/>
        </w:rPr>
        <w:t>合同签订后1个月内完成平台搭建。</w:t>
      </w:r>
    </w:p>
    <w:p w14:paraId="51453213">
      <w:pPr>
        <w:spacing w:line="360" w:lineRule="auto"/>
        <w:ind w:firstLine="480" w:firstLineChars="200"/>
        <w:jc w:val="left"/>
        <w:rPr>
          <w:rFonts w:hint="eastAsia" w:ascii="宋体" w:hAnsi="宋体" w:cs="Times New Roman"/>
          <w:color w:val="auto"/>
          <w:sz w:val="24"/>
          <w:highlight w:val="none"/>
          <w:lang w:val="en-US" w:eastAsia="zh-CN"/>
        </w:rPr>
      </w:pPr>
      <w:r>
        <w:rPr>
          <w:rFonts w:hint="eastAsia" w:ascii="宋体" w:hAnsi="宋体" w:cs="Times New Roman"/>
          <w:color w:val="auto"/>
          <w:sz w:val="24"/>
          <w:highlight w:val="none"/>
          <w:lang w:val="en-US" w:eastAsia="zh-CN"/>
        </w:rPr>
        <w:t>2.履约地点：宜宾市第五人民医院。</w:t>
      </w:r>
    </w:p>
    <w:p w14:paraId="54DD1EFC">
      <w:pPr>
        <w:spacing w:line="360" w:lineRule="auto"/>
        <w:ind w:firstLine="480" w:firstLineChars="200"/>
        <w:jc w:val="left"/>
        <w:rPr>
          <w:rFonts w:hint="default" w:ascii="宋体" w:hAnsi="宋体" w:cs="Times New Roman"/>
          <w:color w:val="auto"/>
          <w:sz w:val="24"/>
          <w:highlight w:val="none"/>
          <w:lang w:val="en-US" w:eastAsia="zh-CN"/>
        </w:rPr>
      </w:pPr>
      <w:r>
        <w:rPr>
          <w:rFonts w:hint="eastAsia" w:ascii="宋体" w:hAnsi="宋体" w:cs="Times New Roman"/>
          <w:color w:val="auto"/>
          <w:sz w:val="24"/>
          <w:highlight w:val="none"/>
          <w:lang w:val="en-US" w:eastAsia="zh-CN"/>
        </w:rPr>
        <w:t>3.本项目实行终身维保服务，服务起算时间：系统搭建验收合格后、签署验收报告次日起永久有效，成交供应商终身不得拒绝提供维保技术支持服务。</w:t>
      </w:r>
    </w:p>
    <w:p w14:paraId="1D7A124A">
      <w:pPr>
        <w:spacing w:line="360" w:lineRule="auto"/>
        <w:ind w:firstLine="480" w:firstLineChars="200"/>
        <w:jc w:val="left"/>
        <w:rPr>
          <w:rFonts w:hint="eastAsia" w:ascii="宋体" w:hAnsi="宋体" w:cs="Times New Roman"/>
          <w:color w:val="auto"/>
          <w:sz w:val="24"/>
          <w:highlight w:val="none"/>
          <w:lang w:val="en-US" w:eastAsia="zh-CN"/>
        </w:rPr>
      </w:pPr>
      <w:r>
        <w:rPr>
          <w:rFonts w:hint="eastAsia" w:ascii="宋体" w:hAnsi="宋体" w:cs="Times New Roman"/>
          <w:color w:val="auto"/>
          <w:sz w:val="24"/>
          <w:highlight w:val="none"/>
          <w:lang w:val="en-US" w:eastAsia="zh-CN"/>
        </w:rPr>
        <w:t>4.付款方式：完成平台搭建后支付80%，验收合格后支付20%。</w:t>
      </w:r>
    </w:p>
    <w:p w14:paraId="085D2AF7">
      <w:pPr>
        <w:tabs>
          <w:tab w:val="left" w:pos="0"/>
        </w:tabs>
        <w:spacing w:line="360" w:lineRule="auto"/>
        <w:ind w:firstLine="240" w:firstLineChars="100"/>
        <w:jc w:val="left"/>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（成交供应商须向采购人出具合法有效完整的增值税发票及凭证资料进行支付结算）。</w:t>
      </w:r>
    </w:p>
    <w:p w14:paraId="15DBFA27">
      <w:pPr>
        <w:spacing w:line="360" w:lineRule="auto"/>
        <w:ind w:firstLine="480" w:firstLineChars="200"/>
        <w:jc w:val="left"/>
        <w:rPr>
          <w:rFonts w:hint="eastAsia" w:ascii="宋体" w:hAnsi="宋体" w:eastAsia="宋体" w:cs="Times New Roman"/>
          <w:color w:val="auto"/>
          <w:sz w:val="24"/>
          <w:highlight w:val="none"/>
        </w:rPr>
      </w:pPr>
      <w:r>
        <w:rPr>
          <w:rFonts w:hint="eastAsia" w:ascii="宋体" w:hAnsi="宋体" w:cs="Times New Roman"/>
          <w:color w:val="auto"/>
          <w:sz w:val="24"/>
          <w:highlight w:val="none"/>
          <w:lang w:val="en-US" w:eastAsia="zh-CN"/>
        </w:rPr>
        <w:t>5</w:t>
      </w:r>
      <w:r>
        <w:rPr>
          <w:rFonts w:hint="eastAsia" w:ascii="宋体" w:hAnsi="宋体" w:eastAsia="宋体" w:cs="Times New Roman"/>
          <w:color w:val="auto"/>
          <w:sz w:val="24"/>
          <w:highlight w:val="none"/>
        </w:rPr>
        <w:t>.报价要求</w:t>
      </w:r>
      <w:bookmarkStart w:id="0" w:name="_Hlk25309575"/>
      <w:r>
        <w:rPr>
          <w:rFonts w:hint="eastAsia" w:ascii="宋体" w:hAnsi="宋体" w:eastAsia="宋体" w:cs="Times New Roman"/>
          <w:color w:val="auto"/>
          <w:sz w:val="24"/>
          <w:highlight w:val="none"/>
        </w:rPr>
        <w:t>：</w:t>
      </w:r>
      <w:bookmarkEnd w:id="0"/>
      <w:r>
        <w:rPr>
          <w:rFonts w:hint="eastAsia" w:ascii="宋体" w:hAnsi="宋体" w:eastAsia="宋体" w:cs="Times New Roman"/>
          <w:color w:val="auto"/>
          <w:sz w:val="24"/>
          <w:highlight w:val="none"/>
        </w:rPr>
        <w:t>供应商的报价是供应商响应采购项目要求的全部工作内容的价格体现，其总价即为履行合同的固定价格。包括但不限于</w:t>
      </w:r>
      <w:r>
        <w:rPr>
          <w:rFonts w:hint="eastAsia" w:ascii="宋体" w:hAnsi="宋体" w:eastAsia="宋体" w:cs="Times New Roman"/>
          <w:color w:val="auto"/>
          <w:sz w:val="24"/>
          <w:highlight w:val="none"/>
          <w:lang w:val="en-US" w:eastAsia="zh-CN"/>
        </w:rPr>
        <w:t>完成本项目服务内容</w:t>
      </w:r>
      <w:r>
        <w:rPr>
          <w:rFonts w:hint="eastAsia" w:ascii="宋体" w:hAnsi="宋体" w:eastAsia="宋体" w:cs="Times New Roman"/>
          <w:color w:val="auto"/>
          <w:sz w:val="24"/>
          <w:highlight w:val="none"/>
        </w:rPr>
        <w:t>、人</w:t>
      </w:r>
      <w:r>
        <w:rPr>
          <w:rFonts w:hint="eastAsia" w:ascii="宋体" w:hAnsi="宋体" w:eastAsia="宋体" w:cs="Times New Roman"/>
          <w:color w:val="auto"/>
          <w:sz w:val="24"/>
          <w:highlight w:val="none"/>
          <w:lang w:val="en-US" w:eastAsia="zh-CN"/>
        </w:rPr>
        <w:t>员劳务</w:t>
      </w: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差旅、设备投入</w:t>
      </w: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成果、保险、</w:t>
      </w:r>
      <w:r>
        <w:rPr>
          <w:rFonts w:hint="eastAsia" w:ascii="宋体" w:hAnsi="宋体" w:eastAsia="宋体" w:cs="Times New Roman"/>
          <w:color w:val="auto"/>
          <w:sz w:val="24"/>
          <w:highlight w:val="none"/>
        </w:rPr>
        <w:t>风险</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税金、利润</w:t>
      </w:r>
      <w:r>
        <w:rPr>
          <w:rFonts w:hint="eastAsia" w:ascii="宋体" w:hAnsi="宋体" w:eastAsia="宋体" w:cs="Times New Roman"/>
          <w:color w:val="auto"/>
          <w:sz w:val="24"/>
          <w:highlight w:val="none"/>
          <w:lang w:val="en-US" w:eastAsia="zh-CN"/>
        </w:rPr>
        <w:t>以及采购文件规定的</w:t>
      </w:r>
      <w:r>
        <w:rPr>
          <w:rFonts w:hint="eastAsia" w:ascii="宋体" w:hAnsi="宋体" w:eastAsia="宋体" w:cs="Times New Roman"/>
          <w:color w:val="auto"/>
          <w:sz w:val="24"/>
          <w:highlight w:val="none"/>
        </w:rPr>
        <w:t>一切费用。除此之外，采购人不再另行向供应商支付其他费用。</w:t>
      </w:r>
    </w:p>
    <w:p w14:paraId="5C578299">
      <w:pPr>
        <w:spacing w:line="360" w:lineRule="auto"/>
        <w:ind w:firstLine="480" w:firstLineChars="200"/>
        <w:jc w:val="left"/>
        <w:rPr>
          <w:rFonts w:hint="eastAsia" w:ascii="宋体" w:hAnsi="宋体" w:eastAsia="宋体" w:cs="Times New Roman"/>
          <w:color w:val="auto"/>
          <w:sz w:val="24"/>
          <w:highlight w:val="none"/>
        </w:rPr>
      </w:pPr>
      <w:r>
        <w:rPr>
          <w:rFonts w:hint="eastAsia" w:ascii="宋体" w:hAnsi="宋体" w:cs="Times New Roman"/>
          <w:color w:val="auto"/>
          <w:sz w:val="24"/>
          <w:highlight w:val="none"/>
          <w:lang w:val="en-US" w:eastAsia="zh-CN"/>
        </w:rPr>
        <w:t>6</w:t>
      </w:r>
      <w:r>
        <w:rPr>
          <w:rFonts w:hint="eastAsia" w:ascii="宋体" w:hAnsi="宋体" w:eastAsia="宋体" w:cs="Times New Roman"/>
          <w:color w:val="auto"/>
          <w:sz w:val="24"/>
          <w:highlight w:val="none"/>
        </w:rPr>
        <w:t>.验收：</w:t>
      </w:r>
    </w:p>
    <w:p w14:paraId="121B2BA6">
      <w:pPr>
        <w:spacing w:line="360" w:lineRule="auto"/>
        <w:ind w:firstLine="480" w:firstLineChars="200"/>
        <w:jc w:val="lef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sz w:val="24"/>
          <w:highlight w:val="none"/>
          <w:lang w:eastAsia="zh-CN"/>
        </w:rPr>
        <w:t>）验收标准：维护服务响应及时、故障处理闭环、系统稳定正常运行、日志与记录完整，符合合同及服务要求，即为验收合格。</w:t>
      </w:r>
    </w:p>
    <w:p w14:paraId="11515230">
      <w:pPr>
        <w:spacing w:line="360" w:lineRule="auto"/>
        <w:ind w:firstLine="480" w:firstLineChars="200"/>
        <w:jc w:val="lef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lang w:eastAsia="zh-CN"/>
        </w:rPr>
        <w:t>）</w:t>
      </w:r>
      <w:r>
        <w:rPr>
          <w:rFonts w:hint="eastAsia" w:ascii="宋体" w:hAnsi="宋体" w:cs="Times New Roman"/>
          <w:color w:val="auto"/>
          <w:sz w:val="24"/>
          <w:highlight w:val="none"/>
          <w:lang w:val="en-US" w:eastAsia="zh-CN"/>
        </w:rPr>
        <w:t>验收时间：</w:t>
      </w:r>
      <w:r>
        <w:rPr>
          <w:rFonts w:hint="eastAsia" w:ascii="宋体" w:hAnsi="宋体" w:eastAsia="宋体" w:cs="Times New Roman"/>
          <w:color w:val="auto"/>
          <w:sz w:val="24"/>
          <w:highlight w:val="none"/>
        </w:rPr>
        <w:t>供应商验收申请之日起</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rPr>
        <w:t>0日内，组织对采购项目进行验收</w:t>
      </w:r>
      <w:r>
        <w:rPr>
          <w:rFonts w:hint="eastAsia" w:ascii="宋体" w:hAnsi="宋体" w:eastAsia="宋体" w:cs="Times New Roman"/>
          <w:color w:val="auto"/>
          <w:sz w:val="24"/>
          <w:highlight w:val="none"/>
          <w:lang w:eastAsia="zh-CN"/>
        </w:rPr>
        <w:t>。</w:t>
      </w:r>
    </w:p>
    <w:p w14:paraId="7E9F0092">
      <w:pPr>
        <w:tabs>
          <w:tab w:val="left" w:pos="0"/>
        </w:tabs>
        <w:spacing w:line="360" w:lineRule="auto"/>
        <w:jc w:val="left"/>
        <w:rPr>
          <w:rFonts w:hint="eastAsia" w:ascii="宋体" w:hAnsi="宋体" w:eastAsia="宋体" w:cs="Times New Roman"/>
          <w:color w:val="auto"/>
          <w:kern w:val="2"/>
          <w:sz w:val="24"/>
          <w:szCs w:val="24"/>
          <w:highlight w:val="none"/>
          <w:lang w:val="en-US" w:eastAsia="zh-CN" w:bidi="ar-SA"/>
        </w:rPr>
      </w:pPr>
      <w:r>
        <w:rPr>
          <w:rFonts w:hint="eastAsia" w:ascii="宋体" w:hAnsi="宋体" w:cs="Times New Roman"/>
          <w:color w:val="auto"/>
          <w:sz w:val="24"/>
          <w:highlight w:val="none"/>
          <w:lang w:val="en-US" w:eastAsia="zh-CN"/>
        </w:rPr>
        <w:t>验收合格之日起进行终生维保，</w:t>
      </w:r>
      <w:r>
        <w:rPr>
          <w:rFonts w:hint="eastAsia" w:ascii="宋体" w:hAnsi="宋体" w:eastAsia="宋体" w:cs="Times New Roman"/>
          <w:color w:val="auto"/>
          <w:kern w:val="2"/>
          <w:sz w:val="24"/>
          <w:szCs w:val="24"/>
          <w:highlight w:val="none"/>
          <w:lang w:val="en-US" w:eastAsia="zh-CN" w:bidi="ar-SA"/>
        </w:rPr>
        <w:t>除此之外，采购人不再另行向供应商支付其他费用。</w:t>
      </w:r>
    </w:p>
    <w:p w14:paraId="49A42AEA">
      <w:pPr>
        <w:tabs>
          <w:tab w:val="left" w:pos="0"/>
        </w:tabs>
        <w:spacing w:line="360" w:lineRule="auto"/>
        <w:ind w:firstLine="480" w:firstLineChars="200"/>
        <w:jc w:val="lef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其他未尽事宜应严格按照《财政部关于进一步加强政府采购需求和履</w:t>
      </w:r>
      <w:bookmarkStart w:id="1" w:name="_GoBack"/>
      <w:bookmarkEnd w:id="1"/>
      <w:r>
        <w:rPr>
          <w:rFonts w:hint="eastAsia" w:ascii="宋体" w:hAnsi="宋体" w:eastAsia="宋体" w:cs="Times New Roman"/>
          <w:color w:val="auto"/>
          <w:sz w:val="24"/>
          <w:highlight w:val="none"/>
        </w:rPr>
        <w:t>约验收管理的指导意见》(财库〔2016〕205号)的要求进行验收。</w:t>
      </w:r>
    </w:p>
    <w:p w14:paraId="384FEC59">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7</w:t>
      </w:r>
      <w:r>
        <w:rPr>
          <w:rFonts w:hint="eastAsia" w:ascii="宋体" w:hAnsi="宋体" w:eastAsia="宋体" w:cs="Times New Roman"/>
          <w:color w:val="auto"/>
          <w:sz w:val="24"/>
          <w:highlight w:val="none"/>
          <w:lang w:val="en-US" w:eastAsia="zh-CN"/>
        </w:rPr>
        <w:t xml:space="preserve">.违约责任 </w:t>
      </w:r>
    </w:p>
    <w:p w14:paraId="2823F6CA">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7</w:t>
      </w:r>
      <w:r>
        <w:rPr>
          <w:rFonts w:hint="eastAsia" w:ascii="宋体" w:hAnsi="宋体" w:eastAsia="宋体" w:cs="Times New Roman"/>
          <w:color w:val="auto"/>
          <w:sz w:val="24"/>
          <w:highlight w:val="none"/>
          <w:lang w:val="en-US" w:eastAsia="zh-CN"/>
        </w:rPr>
        <w:t>.1采购人违约责任 采购人逾期支付货款的,除应及时付足货款外,应向供应商偿付欠款总额万分之一/天的违约金;逾期付款超过90天的,供应商有权终止合同。</w:t>
      </w:r>
    </w:p>
    <w:p w14:paraId="64EEC05E">
      <w:p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7</w:t>
      </w:r>
      <w:r>
        <w:rPr>
          <w:rFonts w:hint="eastAsia" w:ascii="宋体" w:hAnsi="宋体" w:eastAsia="宋体" w:cs="Times New Roman"/>
          <w:color w:val="auto"/>
          <w:sz w:val="24"/>
          <w:highlight w:val="none"/>
          <w:lang w:val="en-US" w:eastAsia="zh-CN"/>
        </w:rPr>
        <w:t xml:space="preserve">.2供应商违约责任 </w:t>
      </w:r>
    </w:p>
    <w:p w14:paraId="2C556756">
      <w:pPr>
        <w:numPr>
          <w:ilvl w:val="0"/>
          <w:numId w:val="0"/>
        </w:numPr>
        <w:spacing w:line="360" w:lineRule="auto"/>
        <w:ind w:firstLine="480" w:firstLineChars="200"/>
        <w:jc w:val="left"/>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（1）</w:t>
      </w:r>
      <w:r>
        <w:rPr>
          <w:rFonts w:hint="eastAsia" w:ascii="宋体" w:hAnsi="宋体" w:eastAsia="宋体" w:cs="Times New Roman"/>
          <w:color w:val="auto"/>
          <w:sz w:val="24"/>
          <w:highlight w:val="none"/>
          <w:lang w:val="en-US" w:eastAsia="zh-CN"/>
        </w:rPr>
        <w:t xml:space="preserve">供应商交付的服务不符合合同规定的,供应商应向采购人支付合同总价的百分之五的违约金,并须在合同规定的交货时间内更换合格的服务给采购人,否则,视作供应商不能交付服务而违约,按本条本款下述第“(2)”项规定由供应商偿付违约金给采购人。 </w:t>
      </w:r>
    </w:p>
    <w:p w14:paraId="602CB54F">
      <w:pPr>
        <w:numPr>
          <w:ilvl w:val="0"/>
          <w:numId w:val="0"/>
        </w:num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（2）</w:t>
      </w:r>
      <w:r>
        <w:rPr>
          <w:rFonts w:hint="eastAsia" w:ascii="宋体" w:hAnsi="宋体" w:eastAsia="宋体" w:cs="Times New Roman"/>
          <w:color w:val="auto"/>
          <w:sz w:val="24"/>
          <w:highlight w:val="none"/>
          <w:lang w:val="en-US" w:eastAsia="zh-CN"/>
        </w:rPr>
        <w:t>供应商不能交付服务或逾期交付服务而违约的,除应及时交付外,应向采购人偿付逾期交付部分款项总额的万分之十/天的违约金；逾期交付超过10天,采购人有权终止合同,供应商则应按合同总价的百分之十的款额向采购人偿付违约金,并须全额退还采购人已经付给供应商的款项及其利息。</w:t>
      </w:r>
    </w:p>
    <w:p w14:paraId="52A8E7A4">
      <w:pPr>
        <w:numPr>
          <w:ilvl w:val="0"/>
          <w:numId w:val="0"/>
        </w:num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（3）</w:t>
      </w:r>
      <w:r>
        <w:rPr>
          <w:rFonts w:hint="eastAsia" w:ascii="宋体" w:hAnsi="宋体" w:eastAsia="宋体" w:cs="Times New Roman"/>
          <w:color w:val="auto"/>
          <w:sz w:val="24"/>
          <w:highlight w:val="none"/>
          <w:lang w:val="en-US" w:eastAsia="zh-CN"/>
        </w:rPr>
        <w:t xml:space="preserve">供应商保证本合同的权利无瑕疵,包括信息系统所有权及知识产权等权利无瑕疵。如任何第三方经法院(或仲裁机构)裁决有权对上述货物主张权利或国家机关依法对货物进行没收查处的,供应商除应向采购人返还已收款项外,还应另按合同总价的百分之十向采购人支付违约金。 </w:t>
      </w:r>
    </w:p>
    <w:p w14:paraId="64F5180D">
      <w:pPr>
        <w:numPr>
          <w:ilvl w:val="0"/>
          <w:numId w:val="0"/>
        </w:numPr>
        <w:spacing w:line="360" w:lineRule="auto"/>
        <w:ind w:leftChars="200"/>
        <w:jc w:val="left"/>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（4）</w:t>
      </w:r>
      <w:r>
        <w:rPr>
          <w:rFonts w:hint="eastAsia" w:ascii="宋体" w:hAnsi="宋体" w:eastAsia="宋体" w:cs="Times New Roman"/>
          <w:color w:val="auto"/>
          <w:sz w:val="24"/>
          <w:highlight w:val="none"/>
          <w:lang w:val="en-US" w:eastAsia="zh-CN"/>
        </w:rPr>
        <w:t>供应商偿付的违约金不足以弥补采购人损失的,还应按采购人损失尚未弥补的部分,支付给采购人。</w:t>
      </w:r>
    </w:p>
    <w:p w14:paraId="64892EC6">
      <w:pPr>
        <w:numPr>
          <w:ilvl w:val="0"/>
          <w:numId w:val="0"/>
        </w:num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（5）</w:t>
      </w:r>
      <w:r>
        <w:rPr>
          <w:rFonts w:hint="eastAsia" w:ascii="宋体" w:hAnsi="宋体" w:eastAsia="宋体" w:cs="Times New Roman"/>
          <w:color w:val="auto"/>
          <w:sz w:val="24"/>
          <w:highlight w:val="none"/>
          <w:lang w:val="en-US" w:eastAsia="zh-CN"/>
        </w:rPr>
        <w:t xml:space="preserve">如因供应商工作人员在履行职务过程中的疏忽、失职、过错等故意或者过失原因给采购人造成损失或侵害,包括但不限于采购人本身的财产损失、由此而导致的采购人对任何第三方的法律责任等,供应商对此均应承担全部的赔偿责任。 </w:t>
      </w:r>
    </w:p>
    <w:p w14:paraId="016870F8">
      <w:pPr>
        <w:numPr>
          <w:ilvl w:val="0"/>
          <w:numId w:val="0"/>
        </w:num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8.</w:t>
      </w:r>
      <w:r>
        <w:rPr>
          <w:rFonts w:hint="eastAsia" w:ascii="宋体" w:hAnsi="宋体" w:eastAsia="宋体" w:cs="Times New Roman"/>
          <w:color w:val="auto"/>
          <w:sz w:val="24"/>
          <w:highlight w:val="none"/>
          <w:lang w:val="en-US" w:eastAsia="zh-CN"/>
        </w:rPr>
        <w:t xml:space="preserve">争议解决办法 </w:t>
      </w:r>
    </w:p>
    <w:p w14:paraId="037EC925">
      <w:pPr>
        <w:numPr>
          <w:ilvl w:val="0"/>
          <w:numId w:val="0"/>
        </w:numPr>
        <w:spacing w:line="360"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合同履行期间,若双方发生争议，可协商或由有关部门调解解决，协商或调解不成的，由当事人依法维护其合法权益，并由采购人所在地人民法院会裁定。</w:t>
      </w:r>
    </w:p>
    <w:p w14:paraId="3798ABB6">
      <w:pPr>
        <w:numPr>
          <w:ilvl w:val="0"/>
          <w:numId w:val="0"/>
        </w:numPr>
        <w:spacing w:line="360" w:lineRule="auto"/>
        <w:jc w:val="left"/>
        <w:rPr>
          <w:rFonts w:hint="eastAsia"/>
          <w:b/>
          <w:bCs/>
          <w:color w:val="auto"/>
          <w:sz w:val="40"/>
          <w:highlight w:val="none"/>
        </w:rPr>
      </w:pPr>
      <w:r>
        <w:rPr>
          <w:rFonts w:hint="eastAsia" w:ascii="宋体" w:hAnsi="宋体" w:eastAsia="宋体" w:cs="宋体"/>
          <w:b/>
          <w:bCs/>
          <w:color w:val="auto"/>
          <w:kern w:val="0"/>
          <w:sz w:val="24"/>
          <w:highlight w:val="none"/>
          <w:lang w:val="en-US" w:eastAsia="zh-CN"/>
        </w:rPr>
        <w:t>实质性要求的说明</w:t>
      </w:r>
      <w:r>
        <w:rPr>
          <w:rFonts w:hint="eastAsia" w:ascii="宋体" w:hAnsi="宋体" w:cs="宋体"/>
          <w:b/>
          <w:bCs/>
          <w:color w:val="auto"/>
          <w:kern w:val="0"/>
          <w:sz w:val="24"/>
          <w:highlight w:val="none"/>
          <w:lang w:val="en-US" w:eastAsia="zh-CN"/>
        </w:rPr>
        <w:t>：</w:t>
      </w:r>
      <w:r>
        <w:rPr>
          <w:rFonts w:hint="eastAsia" w:ascii="宋体" w:hAnsi="宋体" w:eastAsia="宋体" w:cs="宋体"/>
          <w:b/>
          <w:bCs/>
          <w:color w:val="auto"/>
          <w:kern w:val="0"/>
          <w:sz w:val="24"/>
          <w:highlight w:val="none"/>
          <w:lang w:val="en-US" w:eastAsia="zh-CN"/>
        </w:rPr>
        <w:t>本项目采购文件中明确列明为实质性要求为本项目实质性条款，供应商不满足，其响应文件按无效处理</w:t>
      </w:r>
      <w:r>
        <w:rPr>
          <w:rFonts w:hint="eastAsia" w:ascii="宋体" w:hAnsi="宋体" w:cs="宋体"/>
          <w:b/>
          <w:bCs/>
          <w:color w:val="auto"/>
          <w:kern w:val="0"/>
          <w:sz w:val="24"/>
          <w:highlight w:val="none"/>
          <w:lang w:val="en-US" w:eastAsia="zh-CN"/>
        </w:rPr>
        <w:t>。</w:t>
      </w:r>
    </w:p>
    <w:p w14:paraId="169BD078">
      <w:pPr>
        <w:numPr>
          <w:ilvl w:val="0"/>
          <w:numId w:val="0"/>
        </w:numPr>
        <w:spacing w:line="360" w:lineRule="auto"/>
        <w:ind w:firstLine="480" w:firstLineChars="0"/>
        <w:jc w:val="left"/>
        <w:rPr>
          <w:rFonts w:hint="eastAsia"/>
          <w:b/>
          <w:bCs/>
          <w:color w:val="auto"/>
          <w:sz w:val="40"/>
          <w:highlight w:val="none"/>
        </w:rPr>
      </w:pPr>
    </w:p>
    <w:p w14:paraId="6E88ADD2">
      <w:pPr>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532D28"/>
    <w:rsid w:val="076C2DA4"/>
    <w:rsid w:val="08AA04F4"/>
    <w:rsid w:val="0FC0233A"/>
    <w:rsid w:val="2A2777B4"/>
    <w:rsid w:val="31FD01BC"/>
    <w:rsid w:val="32AB7C9A"/>
    <w:rsid w:val="3EAA3BF4"/>
    <w:rsid w:val="49EF2FBB"/>
    <w:rsid w:val="4EE50652"/>
    <w:rsid w:val="50E762F8"/>
    <w:rsid w:val="51783D9B"/>
    <w:rsid w:val="5CF52AE7"/>
    <w:rsid w:val="5DB213CF"/>
    <w:rsid w:val="68386BA0"/>
    <w:rsid w:val="69D05C91"/>
    <w:rsid w:val="75684756"/>
    <w:rsid w:val="7B783090"/>
    <w:rsid w:val="7CCE3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widowControl w:val="0"/>
      <w:spacing w:before="260" w:after="260" w:line="415" w:lineRule="auto"/>
      <w:ind w:left="0" w:right="0"/>
      <w:jc w:val="both"/>
      <w:outlineLvl w:val="1"/>
    </w:pPr>
    <w:rPr>
      <w:rFonts w:ascii="Arial" w:hAnsi="Arial" w:eastAsia="黑体" w:cs="Arial"/>
      <w:b/>
      <w:bCs/>
      <w:kern w:val="2"/>
      <w:sz w:val="32"/>
      <w:szCs w:val="32"/>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标题 5（有编号）（绿盟科技）"/>
    <w:basedOn w:val="1"/>
    <w:next w:val="3"/>
    <w:autoRedefine/>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3">
    <w:name w:val="正文（绿盟科技）"/>
    <w:autoRedefine/>
    <w:qFormat/>
    <w:uiPriority w:val="0"/>
    <w:pPr>
      <w:spacing w:line="300" w:lineRule="auto"/>
    </w:pPr>
    <w:rPr>
      <w:rFonts w:ascii="Arial" w:hAnsi="Arial" w:eastAsia="宋体" w:cs="黑体"/>
      <w:sz w:val="21"/>
      <w:szCs w:val="21"/>
      <w:lang w:val="en-US" w:eastAsia="zh-CN" w:bidi="ar-SA"/>
    </w:rPr>
  </w:style>
  <w:style w:type="paragraph" w:styleId="5">
    <w:name w:val="Body Text"/>
    <w:basedOn w:val="1"/>
    <w:next w:val="6"/>
    <w:qFormat/>
    <w:uiPriority w:val="0"/>
    <w:pPr>
      <w:widowControl w:val="0"/>
      <w:spacing w:before="0" w:after="120"/>
      <w:ind w:left="0" w:right="0"/>
      <w:jc w:val="both"/>
    </w:pPr>
    <w:rPr>
      <w:rFonts w:ascii="Times New Roman" w:hAnsi="Times New Roman" w:eastAsia="宋体" w:cs="Times New Roman"/>
      <w:kern w:val="0"/>
      <w:sz w:val="20"/>
      <w:szCs w:val="24"/>
      <w:lang w:val="en-US" w:eastAsia="zh-CN" w:bidi="ar-SA"/>
    </w:rPr>
  </w:style>
  <w:style w:type="paragraph" w:styleId="6">
    <w:name w:val="toc 1"/>
    <w:basedOn w:val="1"/>
    <w:next w:val="1"/>
    <w:qFormat/>
    <w:uiPriority w:val="0"/>
    <w:pPr>
      <w:spacing w:line="400" w:lineRule="exact"/>
    </w:p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4775</Words>
  <Characters>4809</Characters>
  <Lines>0</Lines>
  <Paragraphs>0</Paragraphs>
  <TotalTime>0</TotalTime>
  <ScaleCrop>false</ScaleCrop>
  <LinksUpToDate>false</LinksUpToDate>
  <CharactersWithSpaces>4816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2026-06-23T09:08:00Z</dcterms:created>
  <dc:creator>asus</dc:creator>
  <cp:lastModifiedBy>小情绪</cp:lastModifiedBy>
  <dcterms:modified xsi:type="dcterms:W3CDTF">2026-06-30T00:18:49Z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eyJoZGlkIjoiMjBhMDcxNjJiMDgyYmFmNjZkNmNkZTQ2NjhjN2NmODciLCJ1c2VySWQiOiI3ODQzNDYyOTgifQ==</vt:lpwstr>
  </property>
  <property fmtid="{D5CDD505-2E9C-101B-9397-08002B2CF9AE}" pid="4" name="ICV">
    <vt:lpwstr>8134E6E7B6E64F63B3BEF1E76ADA895C_13</vt:lpwstr>
  </property>
</Properties>
</file>